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5C1A" w14:textId="5B4153F8" w:rsidR="009B50FA" w:rsidRDefault="00E53D2E" w:rsidP="00BD7F03">
      <w:pPr>
        <w:rPr>
          <w:rFonts w:ascii="Times New Roman" w:hAnsi="Times New Roman"/>
          <w:b/>
          <w:color w:val="000000" w:themeColor="text1"/>
          <w:sz w:val="28"/>
          <w:szCs w:val="28"/>
        </w:rPr>
      </w:pPr>
      <w:r>
        <w:rPr>
          <w:rFonts w:ascii="Arial" w:hAnsi="Arial" w:cs="Arial"/>
          <w:b/>
          <w:noProof/>
          <w:sz w:val="24"/>
        </w:rPr>
        <w:drawing>
          <wp:inline distT="0" distB="0" distL="0" distR="0" wp14:anchorId="743F47B4" wp14:editId="3AAEBE4D">
            <wp:extent cx="2106118" cy="391664"/>
            <wp:effectExtent l="0" t="0" r="2540" b="254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2237645" cy="416123"/>
                    </a:xfrm>
                    <a:prstGeom prst="rect">
                      <a:avLst/>
                    </a:prstGeom>
                  </pic:spPr>
                </pic:pic>
              </a:graphicData>
            </a:graphic>
          </wp:inline>
        </w:drawing>
      </w:r>
    </w:p>
    <w:p w14:paraId="016D5ACE" w14:textId="77777777" w:rsidR="00E53D2E" w:rsidRDefault="00E53D2E" w:rsidP="00BD7F03">
      <w:pPr>
        <w:rPr>
          <w:rFonts w:ascii="Times New Roman" w:hAnsi="Times New Roman"/>
          <w:b/>
          <w:color w:val="000000" w:themeColor="text1"/>
          <w:sz w:val="28"/>
          <w:szCs w:val="28"/>
        </w:rPr>
      </w:pPr>
    </w:p>
    <w:p w14:paraId="7FD74A33" w14:textId="5320B533" w:rsidR="00BD7F03" w:rsidRPr="00EF7326" w:rsidRDefault="00BD7F03" w:rsidP="00BD7F03">
      <w:pPr>
        <w:rPr>
          <w:rFonts w:ascii="Times New Roman" w:hAnsi="Times New Roman"/>
          <w:b/>
          <w:color w:val="000000" w:themeColor="text1"/>
          <w:sz w:val="28"/>
          <w:szCs w:val="28"/>
          <w:lang w:val="de-DE"/>
        </w:rPr>
      </w:pPr>
      <w:r w:rsidRPr="00EF7326">
        <w:rPr>
          <w:rFonts w:ascii="Times New Roman" w:hAnsi="Times New Roman"/>
          <w:b/>
          <w:color w:val="000000" w:themeColor="text1"/>
          <w:sz w:val="28"/>
          <w:szCs w:val="28"/>
          <w:lang w:val="de-DE"/>
        </w:rPr>
        <w:t>Vorlage für eine Richtlinie zur Aufbewahrung und Vernichtung von Daten</w:t>
      </w:r>
    </w:p>
    <w:p w14:paraId="01467BB8" w14:textId="7BF87903" w:rsidR="00BD7F03" w:rsidRPr="005722E6" w:rsidRDefault="00BD7F03" w:rsidP="00BD7F03">
      <w:pPr>
        <w:rPr>
          <w:rFonts w:ascii="Times New Roman" w:hAnsi="Times New Roman"/>
          <w:i/>
          <w:color w:val="000000" w:themeColor="text1"/>
          <w:sz w:val="28"/>
          <w:szCs w:val="28"/>
        </w:rPr>
      </w:pPr>
      <w:r w:rsidRPr="005722E6">
        <w:rPr>
          <w:rFonts w:ascii="Times New Roman" w:hAnsi="Times New Roman"/>
          <w:i/>
          <w:color w:val="000000" w:themeColor="text1"/>
          <w:sz w:val="28"/>
          <w:szCs w:val="28"/>
        </w:rPr>
        <w:t xml:space="preserve">Von Paul Kirvan, FBCI, CISA </w:t>
      </w:r>
    </w:p>
    <w:p w14:paraId="0804F89F" w14:textId="77777777" w:rsidR="00BD7F03" w:rsidRPr="005722E6" w:rsidRDefault="00BD7F03" w:rsidP="00BD7F03">
      <w:pPr>
        <w:rPr>
          <w:rFonts w:ascii="Times New Roman" w:hAnsi="Times New Roman"/>
          <w:color w:val="000000" w:themeColor="text1"/>
          <w:sz w:val="28"/>
          <w:szCs w:val="28"/>
        </w:rPr>
      </w:pPr>
    </w:p>
    <w:p w14:paraId="41C296C6" w14:textId="77777777" w:rsidR="00BD7F03" w:rsidRPr="005722E6" w:rsidRDefault="00BD7F03" w:rsidP="00BD7F03">
      <w:pPr>
        <w:rPr>
          <w:rFonts w:ascii="Times New Roman" w:hAnsi="Times New Roman"/>
          <w:color w:val="000000" w:themeColor="text1"/>
          <w:sz w:val="28"/>
          <w:szCs w:val="28"/>
        </w:rPr>
      </w:pPr>
    </w:p>
    <w:tbl>
      <w:tblPr>
        <w:tblStyle w:val="TableGrid"/>
        <w:tblW w:w="0" w:type="auto"/>
        <w:tblLook w:val="04A0" w:firstRow="1" w:lastRow="0" w:firstColumn="1" w:lastColumn="0" w:noHBand="0" w:noVBand="1"/>
      </w:tblPr>
      <w:tblGrid>
        <w:gridCol w:w="4687"/>
        <w:gridCol w:w="4663"/>
      </w:tblGrid>
      <w:tr w:rsidR="00BD7F03" w:rsidRPr="00EF7326" w14:paraId="7B5B1B4E" w14:textId="77777777" w:rsidTr="002422A9">
        <w:tc>
          <w:tcPr>
            <w:tcW w:w="9576" w:type="dxa"/>
            <w:gridSpan w:val="2"/>
          </w:tcPr>
          <w:p w14:paraId="611EF2F2" w14:textId="77777777" w:rsidR="00BD7F03" w:rsidRPr="00EF7326" w:rsidRDefault="00BD7F03" w:rsidP="002422A9">
            <w:pPr>
              <w:rPr>
                <w:rFonts w:ascii="Times New Roman" w:hAnsi="Times New Roman"/>
                <w:color w:val="000000" w:themeColor="text1"/>
                <w:sz w:val="24"/>
                <w:szCs w:val="28"/>
                <w:lang w:val="de-DE"/>
              </w:rPr>
            </w:pPr>
            <w:r w:rsidRPr="00EF7326">
              <w:rPr>
                <w:rFonts w:ascii="Times New Roman" w:hAnsi="Times New Roman"/>
                <w:b/>
                <w:color w:val="000000" w:themeColor="text1"/>
                <w:sz w:val="24"/>
                <w:szCs w:val="28"/>
                <w:lang w:val="de-DE"/>
              </w:rPr>
              <w:t xml:space="preserve">Titel: </w:t>
            </w:r>
            <w:r w:rsidRPr="00EF7326">
              <w:rPr>
                <w:rFonts w:ascii="Times New Roman" w:hAnsi="Times New Roman"/>
                <w:color w:val="000000" w:themeColor="text1"/>
                <w:sz w:val="24"/>
                <w:szCs w:val="28"/>
                <w:lang w:val="de-DE"/>
              </w:rPr>
              <w:t xml:space="preserve">Richtlinie zur Aufbewahrung und Vernichtung von Daten </w:t>
            </w:r>
          </w:p>
        </w:tc>
      </w:tr>
      <w:tr w:rsidR="00BD7F03" w:rsidRPr="005722E6" w14:paraId="29E6CF3D" w14:textId="77777777" w:rsidTr="002422A9">
        <w:tc>
          <w:tcPr>
            <w:tcW w:w="4788" w:type="dxa"/>
          </w:tcPr>
          <w:p w14:paraId="71338707" w14:textId="77777777" w:rsidR="00BD7F03" w:rsidRPr="005722E6" w:rsidRDefault="00BD7F03" w:rsidP="002422A9">
            <w:pPr>
              <w:rPr>
                <w:rFonts w:ascii="Times New Roman" w:hAnsi="Times New Roman"/>
                <w:color w:val="000000" w:themeColor="text1"/>
                <w:sz w:val="24"/>
                <w:szCs w:val="28"/>
              </w:rPr>
            </w:pPr>
            <w:r w:rsidRPr="005722E6">
              <w:rPr>
                <w:rFonts w:ascii="Times New Roman" w:hAnsi="Times New Roman"/>
                <w:b/>
                <w:color w:val="000000" w:themeColor="text1"/>
                <w:sz w:val="24"/>
                <w:szCs w:val="28"/>
              </w:rPr>
              <w:t>Abteilung</w:t>
            </w:r>
          </w:p>
        </w:tc>
        <w:tc>
          <w:tcPr>
            <w:tcW w:w="4788" w:type="dxa"/>
          </w:tcPr>
          <w:p w14:paraId="60D015F2" w14:textId="77777777" w:rsidR="00BD7F03" w:rsidRPr="005722E6" w:rsidRDefault="00BD7F03" w:rsidP="002422A9">
            <w:pPr>
              <w:rPr>
                <w:rFonts w:ascii="Times New Roman" w:hAnsi="Times New Roman"/>
                <w:color w:val="000000" w:themeColor="text1"/>
                <w:sz w:val="24"/>
                <w:szCs w:val="28"/>
              </w:rPr>
            </w:pPr>
            <w:r w:rsidRPr="005722E6">
              <w:rPr>
                <w:rFonts w:ascii="Times New Roman" w:hAnsi="Times New Roman"/>
                <w:b/>
                <w:color w:val="000000" w:themeColor="text1"/>
                <w:sz w:val="24"/>
                <w:szCs w:val="28"/>
              </w:rPr>
              <w:t>Version:</w:t>
            </w:r>
            <w:r w:rsidRPr="005722E6">
              <w:rPr>
                <w:rFonts w:ascii="Times New Roman" w:hAnsi="Times New Roman"/>
                <w:color w:val="000000" w:themeColor="text1"/>
                <w:sz w:val="24"/>
                <w:szCs w:val="28"/>
              </w:rPr>
              <w:t xml:space="preserve"> Original</w:t>
            </w:r>
          </w:p>
        </w:tc>
      </w:tr>
      <w:tr w:rsidR="00BD7F03" w:rsidRPr="005722E6" w14:paraId="075DA9FB" w14:textId="77777777" w:rsidTr="002422A9">
        <w:tc>
          <w:tcPr>
            <w:tcW w:w="4788" w:type="dxa"/>
          </w:tcPr>
          <w:p w14:paraId="16A92756" w14:textId="77777777" w:rsidR="00BD7F03" w:rsidRPr="005722E6" w:rsidRDefault="00BD7F03" w:rsidP="002422A9">
            <w:pPr>
              <w:rPr>
                <w:rFonts w:ascii="Times New Roman" w:hAnsi="Times New Roman"/>
                <w:b/>
                <w:color w:val="000000" w:themeColor="text1"/>
                <w:sz w:val="24"/>
                <w:szCs w:val="28"/>
              </w:rPr>
            </w:pPr>
            <w:r w:rsidRPr="005722E6">
              <w:rPr>
                <w:rFonts w:ascii="Times New Roman" w:hAnsi="Times New Roman"/>
                <w:b/>
                <w:color w:val="000000" w:themeColor="text1"/>
                <w:sz w:val="24"/>
                <w:szCs w:val="28"/>
              </w:rPr>
              <w:t>Genehmigt durch:</w:t>
            </w:r>
          </w:p>
        </w:tc>
        <w:tc>
          <w:tcPr>
            <w:tcW w:w="4788" w:type="dxa"/>
          </w:tcPr>
          <w:p w14:paraId="7256CF5A" w14:textId="77777777" w:rsidR="00BD7F03" w:rsidRPr="005722E6" w:rsidRDefault="00BD7F03" w:rsidP="002422A9">
            <w:pPr>
              <w:rPr>
                <w:rFonts w:ascii="Times New Roman" w:hAnsi="Times New Roman"/>
                <w:b/>
                <w:color w:val="000000" w:themeColor="text1"/>
                <w:sz w:val="24"/>
                <w:szCs w:val="28"/>
              </w:rPr>
            </w:pPr>
            <w:r w:rsidRPr="005722E6">
              <w:rPr>
                <w:rFonts w:ascii="Times New Roman" w:hAnsi="Times New Roman"/>
                <w:b/>
                <w:color w:val="000000" w:themeColor="text1"/>
                <w:sz w:val="24"/>
                <w:szCs w:val="28"/>
              </w:rPr>
              <w:t xml:space="preserve">Datum der Genehmigung: </w:t>
            </w:r>
          </w:p>
        </w:tc>
      </w:tr>
      <w:tr w:rsidR="00BD7F03" w:rsidRPr="005722E6" w14:paraId="7C1FC918" w14:textId="77777777" w:rsidTr="002422A9">
        <w:tc>
          <w:tcPr>
            <w:tcW w:w="9576" w:type="dxa"/>
            <w:gridSpan w:val="2"/>
          </w:tcPr>
          <w:p w14:paraId="2F4EC672" w14:textId="77777777" w:rsidR="00BD7F03" w:rsidRPr="005722E6" w:rsidRDefault="00BD7F03" w:rsidP="002422A9">
            <w:pPr>
              <w:rPr>
                <w:rFonts w:ascii="Times New Roman" w:hAnsi="Times New Roman"/>
                <w:b/>
                <w:color w:val="000000" w:themeColor="text1"/>
                <w:sz w:val="24"/>
                <w:szCs w:val="28"/>
              </w:rPr>
            </w:pPr>
            <w:r w:rsidRPr="005722E6">
              <w:rPr>
                <w:rFonts w:ascii="Times New Roman" w:hAnsi="Times New Roman"/>
                <w:b/>
                <w:color w:val="000000" w:themeColor="text1"/>
                <w:sz w:val="24"/>
                <w:szCs w:val="28"/>
              </w:rPr>
              <w:t>Genehmigung der Geschäftsleitung:</w:t>
            </w:r>
          </w:p>
        </w:tc>
      </w:tr>
      <w:tr w:rsidR="00BD7F03" w:rsidRPr="005722E6" w14:paraId="190CEF33" w14:textId="77777777" w:rsidTr="002422A9">
        <w:tc>
          <w:tcPr>
            <w:tcW w:w="4788" w:type="dxa"/>
          </w:tcPr>
          <w:p w14:paraId="6A729B12" w14:textId="77777777" w:rsidR="00BD7F03" w:rsidRPr="005722E6" w:rsidRDefault="00BD7F03" w:rsidP="002422A9">
            <w:pPr>
              <w:rPr>
                <w:rFonts w:ascii="Times New Roman" w:hAnsi="Times New Roman"/>
                <w:b/>
                <w:color w:val="000000" w:themeColor="text1"/>
                <w:sz w:val="24"/>
                <w:szCs w:val="28"/>
              </w:rPr>
            </w:pPr>
            <w:r w:rsidRPr="005722E6">
              <w:rPr>
                <w:rFonts w:ascii="Times New Roman" w:hAnsi="Times New Roman"/>
                <w:b/>
                <w:color w:val="000000" w:themeColor="text1"/>
                <w:sz w:val="24"/>
                <w:szCs w:val="28"/>
              </w:rPr>
              <w:t>Datum des Inkrafttretens:</w:t>
            </w:r>
          </w:p>
        </w:tc>
        <w:tc>
          <w:tcPr>
            <w:tcW w:w="4788" w:type="dxa"/>
          </w:tcPr>
          <w:p w14:paraId="49B3FD65" w14:textId="77777777" w:rsidR="00BD7F03" w:rsidRPr="005722E6" w:rsidRDefault="00BD7F03" w:rsidP="002422A9">
            <w:pPr>
              <w:rPr>
                <w:rFonts w:ascii="Times New Roman" w:hAnsi="Times New Roman"/>
                <w:b/>
                <w:color w:val="000000" w:themeColor="text1"/>
                <w:sz w:val="24"/>
                <w:szCs w:val="28"/>
              </w:rPr>
            </w:pPr>
            <w:r w:rsidRPr="005722E6">
              <w:rPr>
                <w:rFonts w:ascii="Times New Roman" w:hAnsi="Times New Roman"/>
                <w:b/>
                <w:color w:val="000000" w:themeColor="text1"/>
                <w:sz w:val="24"/>
                <w:szCs w:val="28"/>
              </w:rPr>
              <w:t>Zuletzt aktualisiert:</w:t>
            </w:r>
          </w:p>
        </w:tc>
      </w:tr>
      <w:tr w:rsidR="00BD7F03" w:rsidRPr="005722E6" w14:paraId="005D888E" w14:textId="77777777" w:rsidTr="002422A9">
        <w:tc>
          <w:tcPr>
            <w:tcW w:w="9576" w:type="dxa"/>
            <w:gridSpan w:val="2"/>
          </w:tcPr>
          <w:p w14:paraId="20413366" w14:textId="77777777" w:rsidR="00BD7F03" w:rsidRPr="005722E6" w:rsidRDefault="00BD7F03" w:rsidP="002422A9">
            <w:pPr>
              <w:rPr>
                <w:rFonts w:ascii="Times New Roman" w:hAnsi="Times New Roman"/>
                <w:b/>
                <w:color w:val="000000" w:themeColor="text1"/>
                <w:sz w:val="24"/>
                <w:szCs w:val="28"/>
              </w:rPr>
            </w:pPr>
            <w:r w:rsidRPr="005722E6">
              <w:rPr>
                <w:rFonts w:ascii="Times New Roman" w:hAnsi="Times New Roman"/>
                <w:b/>
                <w:color w:val="000000" w:themeColor="text1"/>
                <w:sz w:val="24"/>
                <w:szCs w:val="28"/>
              </w:rPr>
              <w:t>Autor:</w:t>
            </w:r>
          </w:p>
        </w:tc>
      </w:tr>
      <w:tr w:rsidR="00BD7F03" w:rsidRPr="005722E6" w14:paraId="66EEB841" w14:textId="77777777" w:rsidTr="002422A9">
        <w:tc>
          <w:tcPr>
            <w:tcW w:w="9576" w:type="dxa"/>
            <w:gridSpan w:val="2"/>
          </w:tcPr>
          <w:p w14:paraId="1F4C616A" w14:textId="77777777" w:rsidR="00BD7F03" w:rsidRPr="00EF7326" w:rsidRDefault="00BD7F03" w:rsidP="002422A9">
            <w:pPr>
              <w:autoSpaceDE w:val="0"/>
              <w:autoSpaceDN w:val="0"/>
              <w:adjustRightInd w:val="0"/>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t>Umfang</w:t>
            </w:r>
          </w:p>
          <w:p w14:paraId="5041F155" w14:textId="77777777" w:rsidR="0052651E" w:rsidRPr="00EF7326" w:rsidRDefault="0052651E" w:rsidP="002422A9">
            <w:pPr>
              <w:autoSpaceDE w:val="0"/>
              <w:autoSpaceDN w:val="0"/>
              <w:adjustRightInd w:val="0"/>
              <w:rPr>
                <w:rFonts w:ascii="Times New Roman" w:hAnsi="Times New Roman"/>
                <w:color w:val="000000" w:themeColor="text1"/>
                <w:sz w:val="24"/>
                <w:szCs w:val="28"/>
                <w:lang w:val="de-DE"/>
              </w:rPr>
            </w:pPr>
          </w:p>
          <w:p w14:paraId="0CD4193B"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Diese Richtlinie gilt für den &lt;Standort angeben&gt;&gt; von &lt;Firmenname&gt;. </w:t>
            </w:r>
          </w:p>
          <w:p w14:paraId="3FD8AD9F"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768987A6" w14:textId="77777777" w:rsidR="00BD7F03" w:rsidRPr="005722E6" w:rsidRDefault="00BD7F03" w:rsidP="002422A9">
            <w:pPr>
              <w:rPr>
                <w:rFonts w:ascii="Times New Roman" w:hAnsi="Times New Roman"/>
                <w:color w:val="000000" w:themeColor="text1"/>
                <w:sz w:val="24"/>
                <w:szCs w:val="28"/>
              </w:rPr>
            </w:pPr>
            <w:r w:rsidRPr="005722E6">
              <w:rPr>
                <w:rFonts w:ascii="Times New Roman" w:hAnsi="Times New Roman"/>
                <w:color w:val="000000" w:themeColor="text1"/>
                <w:sz w:val="24"/>
                <w:szCs w:val="28"/>
              </w:rPr>
              <w:t>&lt;Adresse eingeben&gt;</w:t>
            </w:r>
          </w:p>
          <w:p w14:paraId="1525D1CF" w14:textId="77777777" w:rsidR="00BD7F03" w:rsidRPr="005722E6" w:rsidRDefault="00BD7F03" w:rsidP="002422A9">
            <w:pPr>
              <w:rPr>
                <w:rFonts w:ascii="Times New Roman" w:hAnsi="Times New Roman"/>
                <w:color w:val="000000" w:themeColor="text1"/>
                <w:sz w:val="24"/>
                <w:szCs w:val="28"/>
              </w:rPr>
            </w:pPr>
          </w:p>
        </w:tc>
      </w:tr>
      <w:tr w:rsidR="00BD7F03" w:rsidRPr="00EF7326" w14:paraId="1BAFE3F5" w14:textId="77777777" w:rsidTr="002422A9">
        <w:tc>
          <w:tcPr>
            <w:tcW w:w="9576" w:type="dxa"/>
            <w:gridSpan w:val="2"/>
          </w:tcPr>
          <w:p w14:paraId="6F1F8F72" w14:textId="77777777" w:rsidR="00BD7F03" w:rsidRPr="00EF7326" w:rsidRDefault="00BD7F03" w:rsidP="002422A9">
            <w:pPr>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t xml:space="preserve">Behörde </w:t>
            </w:r>
          </w:p>
          <w:p w14:paraId="28CEEF98"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25CA5258" w14:textId="4DB91BEC"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Diese </w:t>
            </w:r>
            <w:r w:rsidR="00EF7326" w:rsidRPr="00EF7326">
              <w:rPr>
                <w:rFonts w:ascii="Times New Roman" w:hAnsi="Times New Roman"/>
                <w:color w:val="000000" w:themeColor="text1"/>
                <w:sz w:val="24"/>
                <w:szCs w:val="28"/>
                <w:lang w:val="de-DE"/>
              </w:rPr>
              <w:t>Policy</w:t>
            </w:r>
            <w:r w:rsidRPr="00EF7326">
              <w:rPr>
                <w:rFonts w:ascii="Times New Roman" w:hAnsi="Times New Roman"/>
                <w:color w:val="000000" w:themeColor="text1"/>
                <w:sz w:val="24"/>
                <w:szCs w:val="28"/>
                <w:lang w:val="de-DE"/>
              </w:rPr>
              <w:t xml:space="preserve"> wird hiermit gebilligt und genehmigt.</w:t>
            </w:r>
          </w:p>
          <w:p w14:paraId="5DC5AF51"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03E39CDB"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________________________________ _____________________________      </w:t>
            </w:r>
          </w:p>
          <w:p w14:paraId="4E053CA6" w14:textId="06476A9E" w:rsidR="00BD7F03" w:rsidRPr="00EF7326" w:rsidRDefault="0052651E"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Unterschrift </w:t>
            </w:r>
            <w:r w:rsidR="00BD7F03" w:rsidRPr="00EF7326">
              <w:rPr>
                <w:rFonts w:ascii="Times New Roman" w:hAnsi="Times New Roman"/>
                <w:color w:val="000000" w:themeColor="text1"/>
                <w:sz w:val="24"/>
                <w:szCs w:val="28"/>
                <w:lang w:val="de-DE"/>
              </w:rPr>
              <w:t>Titel Datum ____________</w:t>
            </w:r>
          </w:p>
          <w:p w14:paraId="39F483E6"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7474CEFD"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________________________________ ______________________________      </w:t>
            </w:r>
          </w:p>
          <w:p w14:paraId="4035C834" w14:textId="7CD1F30E" w:rsidR="00BD7F03" w:rsidRPr="00EF7326" w:rsidRDefault="0052651E"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Unterschrift </w:t>
            </w:r>
            <w:r w:rsidR="00BD7F03" w:rsidRPr="00EF7326">
              <w:rPr>
                <w:rFonts w:ascii="Times New Roman" w:hAnsi="Times New Roman"/>
                <w:color w:val="000000" w:themeColor="text1"/>
                <w:sz w:val="24"/>
                <w:szCs w:val="28"/>
                <w:lang w:val="de-DE"/>
              </w:rPr>
              <w:t>Titel Datum ____________</w:t>
            </w:r>
          </w:p>
          <w:p w14:paraId="6A4E5C50"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5B3858B4"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tc>
      </w:tr>
      <w:tr w:rsidR="00BD7F03" w:rsidRPr="00EF7326" w14:paraId="31C7F6DF" w14:textId="77777777" w:rsidTr="002422A9">
        <w:tc>
          <w:tcPr>
            <w:tcW w:w="9576" w:type="dxa"/>
            <w:gridSpan w:val="2"/>
          </w:tcPr>
          <w:p w14:paraId="45C8FD6E" w14:textId="77777777" w:rsidR="00BD7F03" w:rsidRPr="00EF7326" w:rsidRDefault="00BD7F03" w:rsidP="002422A9">
            <w:pPr>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t xml:space="preserve">Zweck </w:t>
            </w:r>
          </w:p>
          <w:p w14:paraId="4AAF2D1E" w14:textId="77777777" w:rsidR="00BD7F03" w:rsidRPr="00EF7326" w:rsidRDefault="00BD7F03" w:rsidP="002422A9">
            <w:pPr>
              <w:rPr>
                <w:rFonts w:ascii="Times New Roman" w:hAnsi="Times New Roman"/>
                <w:color w:val="000000" w:themeColor="text1"/>
                <w:sz w:val="24"/>
                <w:szCs w:val="28"/>
                <w:lang w:val="de-DE"/>
              </w:rPr>
            </w:pPr>
          </w:p>
          <w:p w14:paraId="3D62AEAA" w14:textId="5B647441" w:rsidR="00BD7F03" w:rsidRPr="00EF7326" w:rsidRDefault="00BD7F03" w:rsidP="002422A9">
            <w:pPr>
              <w:rPr>
                <w:rFonts w:ascii="Times New Roman" w:hAnsi="Times New Roman"/>
                <w:color w:val="000000" w:themeColor="text1"/>
                <w:sz w:val="24"/>
                <w:szCs w:val="28"/>
                <w:lang w:val="de-DE" w:bidi="th-TH"/>
              </w:rPr>
            </w:pPr>
            <w:r w:rsidRPr="00EF7326">
              <w:rPr>
                <w:rFonts w:ascii="Times New Roman" w:hAnsi="Times New Roman"/>
                <w:color w:val="000000" w:themeColor="text1"/>
                <w:sz w:val="24"/>
                <w:szCs w:val="28"/>
                <w:lang w:val="de-DE"/>
              </w:rPr>
              <w:t>Zweck dieser Richtlinie ist es</w:t>
            </w:r>
            <w:r w:rsidRPr="00EF7326">
              <w:rPr>
                <w:rFonts w:ascii="Times New Roman" w:hAnsi="Times New Roman"/>
                <w:color w:val="000000" w:themeColor="text1"/>
                <w:sz w:val="24"/>
                <w:szCs w:val="28"/>
                <w:lang w:val="de-DE" w:bidi="th-TH"/>
              </w:rPr>
              <w:t xml:space="preserve">, die Aktivitäten im Zusammenhang mit der Entwicklung, Aktualisierung und Einführung von Plänen und Verfahren zur Datenaufbewahrung und -vernichtung festzulegen, die &lt;Name des Unternehmens&gt; Informationssysteme, Netzwerke, Daten, Datenbanken und andere Informationswerte schützen. Zusätzliche Richtlinien, die die Datenverwaltung regeln, werden separat behandelt.  </w:t>
            </w:r>
          </w:p>
          <w:p w14:paraId="0DD396A3" w14:textId="77777777" w:rsidR="00BD7F03" w:rsidRPr="00EF7326" w:rsidRDefault="00BD7F03" w:rsidP="002422A9">
            <w:pPr>
              <w:rPr>
                <w:rFonts w:ascii="Times New Roman" w:hAnsi="Times New Roman"/>
                <w:color w:val="000000" w:themeColor="text1"/>
                <w:sz w:val="24"/>
                <w:szCs w:val="28"/>
                <w:lang w:val="de-DE" w:bidi="th-TH"/>
              </w:rPr>
            </w:pPr>
          </w:p>
          <w:p w14:paraId="0946ADC1" w14:textId="6B2A594B" w:rsidR="00BD7F03" w:rsidRPr="00EF7326" w:rsidRDefault="00BD7F03" w:rsidP="002422A9">
            <w:pPr>
              <w:rPr>
                <w:rFonts w:ascii="Times New Roman" w:hAnsi="Times New Roman"/>
                <w:color w:val="000000" w:themeColor="text1"/>
                <w:sz w:val="24"/>
                <w:szCs w:val="28"/>
                <w:lang w:val="de-DE" w:bidi="th-TH"/>
              </w:rPr>
            </w:pPr>
            <w:r w:rsidRPr="00EF7326">
              <w:rPr>
                <w:rFonts w:ascii="Times New Roman" w:hAnsi="Times New Roman"/>
                <w:color w:val="000000" w:themeColor="text1"/>
                <w:sz w:val="24"/>
                <w:szCs w:val="28"/>
                <w:lang w:val="de-DE" w:bidi="th-TH"/>
              </w:rPr>
              <w:t xml:space="preserve">Zu den weiteren Zwecken dieses Plans gehören die Einhaltung der geltenden Normen und Vorschriften zur Datenaufbewahrung und -vernichtung sowie die Einhaltung von Umwelt-, Nachhaltigkeits- und ähnlichen Vorschriften.  </w:t>
            </w:r>
          </w:p>
          <w:p w14:paraId="778483FA"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tc>
      </w:tr>
      <w:tr w:rsidR="00BD7F03" w:rsidRPr="00EF7326" w14:paraId="15C44536" w14:textId="77777777" w:rsidTr="002422A9">
        <w:tc>
          <w:tcPr>
            <w:tcW w:w="9576" w:type="dxa"/>
            <w:gridSpan w:val="2"/>
          </w:tcPr>
          <w:p w14:paraId="5F5695F6" w14:textId="77777777" w:rsidR="00BD7F03" w:rsidRPr="00EF7326" w:rsidRDefault="00BD7F03" w:rsidP="002422A9">
            <w:pPr>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t>Umfang</w:t>
            </w:r>
          </w:p>
          <w:p w14:paraId="17C3ED1D" w14:textId="77777777" w:rsidR="00BD7F03" w:rsidRPr="00EF7326" w:rsidRDefault="00BD7F03" w:rsidP="002422A9">
            <w:pPr>
              <w:rPr>
                <w:rFonts w:ascii="Times New Roman" w:hAnsi="Times New Roman"/>
                <w:color w:val="000000" w:themeColor="text1"/>
                <w:sz w:val="24"/>
                <w:szCs w:val="28"/>
                <w:lang w:val="de-DE"/>
              </w:rPr>
            </w:pPr>
          </w:p>
          <w:p w14:paraId="526C36D8" w14:textId="0658D402" w:rsidR="00BD7F03" w:rsidRPr="00EF7326" w:rsidRDefault="00BD7F03" w:rsidP="002422A9">
            <w:pPr>
              <w:autoSpaceDE w:val="0"/>
              <w:autoSpaceDN w:val="0"/>
              <w:adjustRightInd w:val="0"/>
              <w:rPr>
                <w:rFonts w:ascii="Times New Roman" w:hAnsi="Times New Roman"/>
                <w:color w:val="000000" w:themeColor="text1"/>
                <w:sz w:val="24"/>
                <w:szCs w:val="28"/>
                <w:lang w:val="de-DE" w:bidi="th-TH"/>
              </w:rPr>
            </w:pPr>
            <w:r w:rsidRPr="00EF7326">
              <w:rPr>
                <w:rFonts w:ascii="Times New Roman" w:hAnsi="Times New Roman"/>
                <w:color w:val="000000" w:themeColor="text1"/>
                <w:sz w:val="24"/>
                <w:szCs w:val="28"/>
                <w:lang w:val="de-DE" w:bidi="th-TH"/>
              </w:rPr>
              <w:lastRenderedPageBreak/>
              <w:t>Der Geltungsbereich dieser Richtlinie zur Datenaufbewahrung und -vernichtung umfasst alle informationstechnischen Systeme, Software, Datenbanken, Anwendungen und Netzwerkressourcen, die das Unternehmen zur Ausübung seiner Geschäftstätigkeit benötigt. Die Richtlinie gilt für alle Mitarbeiter des Unternehmens, Auftragnehmer und andere autorisierte Drittorganisationen.</w:t>
            </w:r>
          </w:p>
          <w:p w14:paraId="1C80D6FC" w14:textId="77777777" w:rsidR="00BD7F03" w:rsidRPr="00EF7326" w:rsidRDefault="00BD7F03" w:rsidP="002422A9">
            <w:pPr>
              <w:rPr>
                <w:rFonts w:ascii="Times New Roman" w:hAnsi="Times New Roman"/>
                <w:color w:val="000000" w:themeColor="text1"/>
                <w:sz w:val="24"/>
                <w:szCs w:val="28"/>
                <w:lang w:val="de-DE"/>
              </w:rPr>
            </w:pPr>
          </w:p>
        </w:tc>
      </w:tr>
      <w:tr w:rsidR="00BD7F03" w:rsidRPr="00EF7326" w14:paraId="65B4918F" w14:textId="77777777" w:rsidTr="002422A9">
        <w:tc>
          <w:tcPr>
            <w:tcW w:w="9576" w:type="dxa"/>
            <w:gridSpan w:val="2"/>
          </w:tcPr>
          <w:p w14:paraId="259FDCEB" w14:textId="77777777" w:rsidR="00BD7F03" w:rsidRPr="00EF7326" w:rsidRDefault="00BD7F03" w:rsidP="002422A9">
            <w:pPr>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lastRenderedPageBreak/>
              <w:t>Erklärung zur Einhaltung der Vorschriften</w:t>
            </w:r>
          </w:p>
          <w:p w14:paraId="00EAF4F9" w14:textId="77777777" w:rsidR="00BD7F03" w:rsidRPr="00EF7326" w:rsidRDefault="00BD7F03" w:rsidP="002422A9">
            <w:pPr>
              <w:rPr>
                <w:rFonts w:ascii="Times New Roman" w:hAnsi="Times New Roman"/>
                <w:color w:val="000000" w:themeColor="text1"/>
                <w:sz w:val="24"/>
                <w:szCs w:val="28"/>
                <w:lang w:val="de-DE"/>
              </w:rPr>
            </w:pPr>
          </w:p>
          <w:p w14:paraId="50C4A084" w14:textId="2827F7B7" w:rsidR="00BD7F03" w:rsidRPr="00EF7326" w:rsidRDefault="00BD7F03" w:rsidP="002422A9">
            <w:pPr>
              <w:autoSpaceDE w:val="0"/>
              <w:autoSpaceDN w:val="0"/>
              <w:adjustRightInd w:val="0"/>
              <w:rPr>
                <w:rFonts w:ascii="Times New Roman" w:hAnsi="Times New Roman"/>
                <w:color w:val="000000" w:themeColor="text1"/>
                <w:sz w:val="24"/>
                <w:szCs w:val="28"/>
                <w:lang w:val="de-DE" w:bidi="th-TH"/>
              </w:rPr>
            </w:pPr>
            <w:r w:rsidRPr="00EF7326">
              <w:rPr>
                <w:rFonts w:ascii="Times New Roman" w:hAnsi="Times New Roman"/>
                <w:color w:val="000000" w:themeColor="text1"/>
                <w:sz w:val="24"/>
                <w:szCs w:val="28"/>
                <w:lang w:val="de-DE" w:bidi="th-TH"/>
              </w:rPr>
              <w:t xml:space="preserve">Diese Richtlinie ist so konzipiert, dass sie mit dem U.S. Data Protection Act von 1998, dem Freedom of Information Act von 2000, dem </w:t>
            </w:r>
            <w:r w:rsidRPr="00EF7326">
              <w:rPr>
                <w:rFonts w:ascii="Times New Roman" w:hAnsi="Times New Roman"/>
                <w:color w:val="000000" w:themeColor="text1"/>
                <w:sz w:val="24"/>
                <w:szCs w:val="28"/>
                <w:shd w:val="clear" w:color="auto" w:fill="FFFFFF"/>
                <w:lang w:val="de-DE"/>
              </w:rPr>
              <w:t xml:space="preserve">Fair and Accurate Credit Transactions Act von 2003 (FACTA), dem Personal Information Protection and Electronic Documents Act (PIPEDA) in Kanada, dem Gramm-Leach-Bliley Act (GLBA), der </w:t>
            </w:r>
            <w:r w:rsidR="00EF7326">
              <w:rPr>
                <w:rFonts w:ascii="Times New Roman" w:hAnsi="Times New Roman"/>
                <w:color w:val="000000" w:themeColor="text1"/>
                <w:sz w:val="24"/>
                <w:szCs w:val="28"/>
                <w:shd w:val="clear" w:color="auto" w:fill="FFFFFF"/>
                <w:lang w:val="de-DE"/>
              </w:rPr>
              <w:t>Datenschutz-Grundverordnung</w:t>
            </w:r>
            <w:r w:rsidRPr="00EF7326">
              <w:rPr>
                <w:rFonts w:ascii="Times New Roman" w:hAnsi="Times New Roman"/>
                <w:color w:val="000000" w:themeColor="text1"/>
                <w:sz w:val="24"/>
                <w:szCs w:val="28"/>
                <w:shd w:val="clear" w:color="auto" w:fill="FFFFFF"/>
                <w:lang w:val="de-DE"/>
              </w:rPr>
              <w:t xml:space="preserve"> (</w:t>
            </w:r>
            <w:r w:rsidR="00EF7326">
              <w:rPr>
                <w:rFonts w:ascii="Times New Roman" w:hAnsi="Times New Roman"/>
                <w:color w:val="000000" w:themeColor="text1"/>
                <w:sz w:val="24"/>
                <w:szCs w:val="28"/>
                <w:shd w:val="clear" w:color="auto" w:fill="FFFFFF"/>
                <w:lang w:val="de-DE"/>
              </w:rPr>
              <w:t>DSGVO</w:t>
            </w:r>
            <w:r w:rsidR="00D1664A" w:rsidRPr="00EF7326">
              <w:rPr>
                <w:rFonts w:ascii="Times New Roman" w:hAnsi="Times New Roman"/>
                <w:color w:val="000000" w:themeColor="text1"/>
                <w:sz w:val="24"/>
                <w:szCs w:val="28"/>
                <w:shd w:val="clear" w:color="auto" w:fill="FFFFFF"/>
                <w:lang w:val="de-DE"/>
              </w:rPr>
              <w:t xml:space="preserve">) </w:t>
            </w:r>
            <w:r w:rsidR="009B50FA" w:rsidRPr="00EF7326">
              <w:rPr>
                <w:rFonts w:ascii="Times New Roman" w:hAnsi="Times New Roman"/>
                <w:color w:val="000000" w:themeColor="text1"/>
                <w:sz w:val="24"/>
                <w:szCs w:val="28"/>
                <w:shd w:val="clear" w:color="auto" w:fill="FFFFFF"/>
                <w:lang w:val="de-DE"/>
              </w:rPr>
              <w:t>der</w:t>
            </w:r>
            <w:r w:rsidR="00D1664A" w:rsidRPr="00EF7326">
              <w:rPr>
                <w:rFonts w:ascii="Times New Roman" w:hAnsi="Times New Roman"/>
                <w:color w:val="000000" w:themeColor="text1"/>
                <w:sz w:val="24"/>
                <w:szCs w:val="28"/>
                <w:shd w:val="clear" w:color="auto" w:fill="FFFFFF"/>
                <w:lang w:val="de-DE"/>
              </w:rPr>
              <w:t xml:space="preserve"> Europäischen Union, ISO 27040</w:t>
            </w:r>
            <w:r w:rsidR="009B50FA" w:rsidRPr="00EF7326">
              <w:rPr>
                <w:rFonts w:ascii="Times New Roman" w:hAnsi="Times New Roman"/>
                <w:color w:val="000000" w:themeColor="text1"/>
                <w:sz w:val="24"/>
                <w:szCs w:val="28"/>
                <w:shd w:val="clear" w:color="auto" w:fill="FFFFFF"/>
                <w:lang w:val="de-DE"/>
              </w:rPr>
              <w:t xml:space="preserve">: </w:t>
            </w:r>
            <w:r w:rsidR="00D1664A" w:rsidRPr="00EF7326">
              <w:rPr>
                <w:rFonts w:ascii="Times New Roman" w:hAnsi="Times New Roman"/>
                <w:color w:val="000000" w:themeColor="text1"/>
                <w:sz w:val="24"/>
                <w:szCs w:val="28"/>
                <w:shd w:val="clear" w:color="auto" w:fill="FFFFFF"/>
                <w:lang w:val="de-DE"/>
              </w:rPr>
              <w:t xml:space="preserve">Information Technology </w:t>
            </w:r>
            <w:r w:rsidR="009B50FA" w:rsidRPr="00EF7326">
              <w:rPr>
                <w:rFonts w:ascii="Times New Roman" w:hAnsi="Times New Roman"/>
                <w:color w:val="000000" w:themeColor="text1"/>
                <w:sz w:val="24"/>
                <w:szCs w:val="28"/>
                <w:shd w:val="clear" w:color="auto" w:fill="FFFFFF"/>
                <w:lang w:val="de-DE"/>
              </w:rPr>
              <w:t xml:space="preserve">-- </w:t>
            </w:r>
            <w:r w:rsidR="00D1664A" w:rsidRPr="00EF7326">
              <w:rPr>
                <w:rFonts w:ascii="Times New Roman" w:hAnsi="Times New Roman"/>
                <w:color w:val="000000" w:themeColor="text1"/>
                <w:sz w:val="24"/>
                <w:szCs w:val="28"/>
                <w:shd w:val="clear" w:color="auto" w:fill="FFFFFF"/>
                <w:lang w:val="de-DE"/>
              </w:rPr>
              <w:t xml:space="preserve">Security techniques </w:t>
            </w:r>
            <w:r w:rsidR="009B50FA" w:rsidRPr="00EF7326">
              <w:rPr>
                <w:rFonts w:ascii="Times New Roman" w:hAnsi="Times New Roman"/>
                <w:color w:val="000000" w:themeColor="text1"/>
                <w:sz w:val="24"/>
                <w:szCs w:val="28"/>
                <w:shd w:val="clear" w:color="auto" w:fill="FFFFFF"/>
                <w:lang w:val="de-DE"/>
              </w:rPr>
              <w:t xml:space="preserve">-- </w:t>
            </w:r>
            <w:r w:rsidR="00D1664A" w:rsidRPr="00EF7326">
              <w:rPr>
                <w:rFonts w:ascii="Times New Roman" w:hAnsi="Times New Roman"/>
                <w:color w:val="000000" w:themeColor="text1"/>
                <w:sz w:val="24"/>
                <w:szCs w:val="28"/>
                <w:shd w:val="clear" w:color="auto" w:fill="FFFFFF"/>
                <w:lang w:val="de-DE"/>
              </w:rPr>
              <w:t xml:space="preserve">Storage security </w:t>
            </w:r>
            <w:r w:rsidR="00E4425E" w:rsidRPr="00EF7326">
              <w:rPr>
                <w:rFonts w:ascii="Times New Roman" w:hAnsi="Times New Roman"/>
                <w:color w:val="000000" w:themeColor="text1"/>
                <w:sz w:val="24"/>
                <w:szCs w:val="28"/>
                <w:shd w:val="clear" w:color="auto" w:fill="FFFFFF"/>
                <w:lang w:val="de-DE"/>
              </w:rPr>
              <w:t xml:space="preserve">und NIST SP 800-209 </w:t>
            </w:r>
            <w:r w:rsidR="009B50FA" w:rsidRPr="00EF7326">
              <w:rPr>
                <w:rFonts w:ascii="Times New Roman" w:hAnsi="Times New Roman"/>
                <w:color w:val="000000" w:themeColor="text1"/>
                <w:sz w:val="24"/>
                <w:szCs w:val="28"/>
                <w:shd w:val="clear" w:color="auto" w:fill="FFFFFF"/>
                <w:lang w:val="de-DE"/>
              </w:rPr>
              <w:t xml:space="preserve">-- </w:t>
            </w:r>
            <w:r w:rsidR="00E4425E" w:rsidRPr="00EF7326">
              <w:rPr>
                <w:rFonts w:ascii="Times New Roman" w:hAnsi="Times New Roman"/>
                <w:color w:val="000000" w:themeColor="text1"/>
                <w:sz w:val="24"/>
                <w:szCs w:val="28"/>
                <w:shd w:val="clear" w:color="auto" w:fill="FFFFFF"/>
                <w:lang w:val="de-DE"/>
              </w:rPr>
              <w:t xml:space="preserve">Security Guidelines for Storage Infrastructure </w:t>
            </w:r>
            <w:r w:rsidRPr="00EF7326">
              <w:rPr>
                <w:rFonts w:ascii="Times New Roman" w:hAnsi="Times New Roman"/>
                <w:color w:val="000000" w:themeColor="text1"/>
                <w:sz w:val="24"/>
                <w:szCs w:val="28"/>
                <w:lang w:val="de-DE" w:bidi="th-TH"/>
              </w:rPr>
              <w:t>übereinstimmt</w:t>
            </w:r>
            <w:r w:rsidR="000063F8" w:rsidRPr="00EF7326">
              <w:rPr>
                <w:rFonts w:ascii="Times New Roman" w:hAnsi="Times New Roman"/>
                <w:color w:val="000000" w:themeColor="text1"/>
                <w:sz w:val="24"/>
                <w:szCs w:val="28"/>
                <w:shd w:val="clear" w:color="auto" w:fill="FFFFFF"/>
                <w:lang w:val="de-DE"/>
              </w:rPr>
              <w:t>.</w:t>
            </w:r>
          </w:p>
          <w:p w14:paraId="224EBA4D"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bidi="th-TH"/>
              </w:rPr>
            </w:pPr>
          </w:p>
          <w:p w14:paraId="414DF2D1" w14:textId="1E9F669F" w:rsidR="00BD7F03" w:rsidRPr="00EF7326" w:rsidRDefault="00BD7F03" w:rsidP="002422A9">
            <w:pPr>
              <w:autoSpaceDE w:val="0"/>
              <w:autoSpaceDN w:val="0"/>
              <w:adjustRightInd w:val="0"/>
              <w:rPr>
                <w:rFonts w:ascii="Times New Roman" w:hAnsi="Times New Roman"/>
                <w:color w:val="000000" w:themeColor="text1"/>
                <w:sz w:val="24"/>
                <w:szCs w:val="28"/>
                <w:lang w:val="de-DE" w:bidi="th-TH"/>
              </w:rPr>
            </w:pPr>
            <w:r w:rsidRPr="00EF7326">
              <w:rPr>
                <w:rFonts w:ascii="Times New Roman" w:hAnsi="Times New Roman"/>
                <w:color w:val="000000" w:themeColor="text1"/>
                <w:sz w:val="24"/>
                <w:szCs w:val="28"/>
                <w:lang w:val="de-DE"/>
              </w:rPr>
              <w:t xml:space="preserve">Die Einhaltung der Richtlinien zur Datenaufbewahrung und -vernichtung wird von der IT-Abteilung mit Unterstützung der Abteilungsleitung und der Fachexperten von &lt;Name des Unternehmens&gt; verwaltet. Um die Einhaltung der Richtlinien zu gewährleisten, müssen die Programme zur Datenaufbewahrung und -vernichtung geeignete Verfahren umfassen und die personellen und technischen Ressourcen zur Erfüllung der Richtlinienanforderungen festlegen. Die Überprüfung der Einhaltung (insbesondere der Datenvernichtung) wird monatlich von der IT-Abteilung, der Innenrevision oder einer anderen geeigneten Stelle durchgeführt. </w:t>
            </w:r>
          </w:p>
          <w:p w14:paraId="66690368" w14:textId="77777777" w:rsidR="00BD7F03" w:rsidRPr="00EF7326" w:rsidRDefault="00BD7F03" w:rsidP="002422A9">
            <w:pPr>
              <w:rPr>
                <w:rFonts w:ascii="Times New Roman" w:hAnsi="Times New Roman"/>
                <w:color w:val="000000" w:themeColor="text1"/>
                <w:sz w:val="24"/>
                <w:szCs w:val="28"/>
                <w:lang w:val="de-DE"/>
              </w:rPr>
            </w:pPr>
          </w:p>
        </w:tc>
      </w:tr>
      <w:tr w:rsidR="00BD7F03" w:rsidRPr="00EF7326" w14:paraId="242176A2" w14:textId="77777777" w:rsidTr="002422A9">
        <w:tc>
          <w:tcPr>
            <w:tcW w:w="9576" w:type="dxa"/>
            <w:gridSpan w:val="2"/>
          </w:tcPr>
          <w:p w14:paraId="5B41008D" w14:textId="609C8B08" w:rsidR="00BD7F03" w:rsidRPr="00EF7326" w:rsidRDefault="00BD7F03" w:rsidP="002422A9">
            <w:pPr>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t>Pol</w:t>
            </w:r>
            <w:r w:rsidR="00EF7326">
              <w:rPr>
                <w:rFonts w:ascii="Times New Roman" w:hAnsi="Times New Roman"/>
                <w:b/>
                <w:color w:val="000000" w:themeColor="text1"/>
                <w:sz w:val="24"/>
                <w:szCs w:val="28"/>
                <w:lang w:val="de-DE"/>
              </w:rPr>
              <w:t>icy</w:t>
            </w:r>
          </w:p>
          <w:p w14:paraId="67BF06C0" w14:textId="77777777" w:rsidR="00BD7F03" w:rsidRPr="00EF7326" w:rsidRDefault="00BD7F03" w:rsidP="002422A9">
            <w:pPr>
              <w:rPr>
                <w:rFonts w:ascii="Times New Roman" w:hAnsi="Times New Roman"/>
                <w:color w:val="000000" w:themeColor="text1"/>
                <w:sz w:val="24"/>
                <w:szCs w:val="28"/>
                <w:lang w:val="de-DE"/>
              </w:rPr>
            </w:pPr>
          </w:p>
          <w:p w14:paraId="2672D250" w14:textId="493573A5" w:rsidR="00BD7F03" w:rsidRPr="00EF7326" w:rsidRDefault="00BD7F03" w:rsidP="002422A9">
            <w:pPr>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Die Abteilung Informationstechnologie (IT) ist für die Verwaltung aller Datenaufbewahrungs- und Vernichtungsaktivitäten des Unternehmens zuständig. Andere Abteilungen, wie Finanz- und Rechnungswesen, Betrieb und Personalwesen, sind ebenfalls dafür verantwortlich, der IT-Abteilung ihre Anforderungen an die Datenaufbewahrung und -vernichtung mitzuteilen. Die IT-Abteilung ist für die Entwicklung, Ausführung und regelmäßige Prüfung der Verfahren zur Datenaufbewahrung und -vernichtung verantwortlich. Die IT-Abteilung erkennt außerdem an, dass sie bei ihren Tätigkeiten die entsprechenden Industriestandards für die Datenaufbewahrung und -vernichtung einhalten wird. </w:t>
            </w:r>
          </w:p>
          <w:p w14:paraId="1DFB0362" w14:textId="77777777" w:rsidR="00BD7F03" w:rsidRPr="00EF7326" w:rsidRDefault="00BD7F03" w:rsidP="002422A9">
            <w:pPr>
              <w:rPr>
                <w:rFonts w:ascii="Times New Roman" w:hAnsi="Times New Roman"/>
                <w:color w:val="000000" w:themeColor="text1"/>
                <w:sz w:val="24"/>
                <w:szCs w:val="28"/>
                <w:lang w:val="de-DE"/>
              </w:rPr>
            </w:pPr>
          </w:p>
          <w:p w14:paraId="41BD828B" w14:textId="77777777"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Das Unternehmen entwickelt umfassende Pläne für die Aufbewahrung und Vernichtung von Daten im Einklang mit bewährten Datenverwaltungspraktiken, wie sie in festgelegten Standards definiert sind.</w:t>
            </w:r>
          </w:p>
          <w:p w14:paraId="1E45F453" w14:textId="603BC143"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Die Aufbewahrung und Vernichtung von Daten erfolgt im Rahmen des Datenverwaltungsprogramms des Unternehmens, das das gesamte Programm zur Verwaltung von Technologiedaten verwaltet und leitet</w:t>
            </w:r>
            <w:r w:rsidR="002D082A">
              <w:rPr>
                <w:rFonts w:ascii="Times New Roman" w:hAnsi="Times New Roman"/>
                <w:color w:val="000000" w:themeColor="text1"/>
                <w:sz w:val="24"/>
                <w:szCs w:val="28"/>
                <w:lang w:val="de-DE"/>
              </w:rPr>
              <w:t>.</w:t>
            </w:r>
          </w:p>
          <w:p w14:paraId="7CBAE838" w14:textId="22A25E14"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Planung und Gestaltung von Maßnahmen zur Datenaufbewahrung und -vernichtung</w:t>
            </w:r>
            <w:r w:rsidR="00614F11" w:rsidRPr="00EF7326">
              <w:rPr>
                <w:rFonts w:ascii="Times New Roman" w:hAnsi="Times New Roman"/>
                <w:color w:val="000000" w:themeColor="text1"/>
                <w:sz w:val="24"/>
                <w:szCs w:val="28"/>
                <w:lang w:val="de-DE"/>
              </w:rPr>
              <w:t>.</w:t>
            </w:r>
          </w:p>
          <w:p w14:paraId="296BA4E8" w14:textId="49FFF6A3"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Ermittlung von Teams für die Datenaufbewahrung und -vernichtung, Festlegung ihrer Aufgaben und Zuständigkeiten und Sicherstellung, dass sie ordnungsgemäß geschult und auf die Erfüllung ihrer Aufgaben vorbereitet sind</w:t>
            </w:r>
            <w:r w:rsidR="00614F11" w:rsidRPr="00EF7326">
              <w:rPr>
                <w:rFonts w:ascii="Times New Roman" w:hAnsi="Times New Roman"/>
                <w:color w:val="000000" w:themeColor="text1"/>
                <w:sz w:val="24"/>
                <w:szCs w:val="28"/>
                <w:lang w:val="de-DE"/>
              </w:rPr>
              <w:t>.</w:t>
            </w:r>
          </w:p>
          <w:p w14:paraId="21A215CD" w14:textId="7BA5AF17"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lastRenderedPageBreak/>
              <w:t>Planung, Gestaltung und Dokumentation von Plänen zur Aufbewahrung und Vernichtung von Daten</w:t>
            </w:r>
            <w:r w:rsidR="00614F11" w:rsidRPr="00EF7326">
              <w:rPr>
                <w:rFonts w:ascii="Times New Roman" w:hAnsi="Times New Roman"/>
                <w:color w:val="000000" w:themeColor="text1"/>
                <w:sz w:val="24"/>
                <w:szCs w:val="28"/>
                <w:lang w:val="de-DE"/>
              </w:rPr>
              <w:t>.</w:t>
            </w:r>
          </w:p>
          <w:p w14:paraId="622B11D1" w14:textId="1E3B0A6E"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Planung von Aktualisierungen der Risikoanalysen zur Datenaufbewahrung und -vernichtung</w:t>
            </w:r>
          </w:p>
          <w:p w14:paraId="29576F8B" w14:textId="5A0BE837"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Planung und Durchführung von Sensibilisierungs- und Schulungsmaßnahmen für Mitarbeiter und Mitglieder des Teams für Datenaufbewahrung und -vernichtung</w:t>
            </w:r>
            <w:r w:rsidR="00614F11" w:rsidRPr="00EF7326">
              <w:rPr>
                <w:rFonts w:ascii="Times New Roman" w:hAnsi="Times New Roman"/>
                <w:color w:val="000000" w:themeColor="text1"/>
                <w:sz w:val="24"/>
                <w:szCs w:val="28"/>
                <w:lang w:val="de-DE"/>
              </w:rPr>
              <w:t>.</w:t>
            </w:r>
          </w:p>
          <w:p w14:paraId="1A5F0190" w14:textId="15D8600C"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Planung und Durchführung von Übungen zur Datenaufbewahrung und -vernichtung</w:t>
            </w:r>
            <w:r w:rsidR="00614F11" w:rsidRPr="00EF7326">
              <w:rPr>
                <w:rFonts w:ascii="Times New Roman" w:hAnsi="Times New Roman"/>
                <w:color w:val="000000" w:themeColor="text1"/>
                <w:sz w:val="24"/>
                <w:szCs w:val="28"/>
                <w:lang w:val="de-DE"/>
              </w:rPr>
              <w:t>.</w:t>
            </w:r>
          </w:p>
          <w:p w14:paraId="49CBB187" w14:textId="28E96C93"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Entwurf und Umsetzung von Maßnahmen zur Pflege der Datenaufbewahrung und -vernichtung, um sicherzustellen, dass die Pläne auf dem neuesten Stand und einsatzbereit sind</w:t>
            </w:r>
            <w:r w:rsidR="00614F11" w:rsidRPr="00EF7326">
              <w:rPr>
                <w:rFonts w:ascii="Times New Roman" w:hAnsi="Times New Roman"/>
                <w:color w:val="000000" w:themeColor="text1"/>
                <w:sz w:val="24"/>
                <w:szCs w:val="28"/>
                <w:lang w:val="de-DE"/>
              </w:rPr>
              <w:t>.</w:t>
            </w:r>
          </w:p>
          <w:p w14:paraId="26665512" w14:textId="1DF7106E" w:rsidR="00BB5508" w:rsidRPr="00EF7326" w:rsidRDefault="00BB5508"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Sicherstellung, dass die Verfahren zur Datenaufbewahrung und -vernichtung mit den Umwelt- und Nachhaltigkeitsmanagementprogrammen des Unternehmens vereinbar sind</w:t>
            </w:r>
            <w:r w:rsidR="00614F11" w:rsidRPr="00EF7326">
              <w:rPr>
                <w:rFonts w:ascii="Times New Roman" w:hAnsi="Times New Roman"/>
                <w:color w:val="000000" w:themeColor="text1"/>
                <w:sz w:val="24"/>
                <w:szCs w:val="28"/>
                <w:lang w:val="de-DE"/>
              </w:rPr>
              <w:t>.</w:t>
            </w:r>
          </w:p>
          <w:p w14:paraId="3EDA62E3" w14:textId="2A3E1B50"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Vorbereitung der Überprüfung und des Audits der Pläne zur Datenaufbewahrung und -vernichtung durch das Management</w:t>
            </w:r>
            <w:r w:rsidR="00614F11" w:rsidRPr="00EF7326">
              <w:rPr>
                <w:rFonts w:ascii="Times New Roman" w:hAnsi="Times New Roman"/>
                <w:color w:val="000000" w:themeColor="text1"/>
                <w:sz w:val="24"/>
                <w:szCs w:val="28"/>
                <w:lang w:val="de-DE"/>
              </w:rPr>
              <w:t>.</w:t>
            </w:r>
          </w:p>
          <w:p w14:paraId="5B108604" w14:textId="37104DC9" w:rsidR="00BD7F03" w:rsidRPr="00EF7326" w:rsidRDefault="00BD7F03" w:rsidP="00BD7F03">
            <w:pPr>
              <w:numPr>
                <w:ilvl w:val="1"/>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Planung und Durchführung von Maßnahmen zur kontinuierlichen Verbesserung der Aktivitäten und Pläne zur Datenaufbewahrung und -vernichtung</w:t>
            </w:r>
            <w:r w:rsidR="00614F11" w:rsidRPr="00EF7326">
              <w:rPr>
                <w:rFonts w:ascii="Times New Roman" w:hAnsi="Times New Roman"/>
                <w:color w:val="000000" w:themeColor="text1"/>
                <w:sz w:val="24"/>
                <w:szCs w:val="28"/>
                <w:lang w:val="de-DE"/>
              </w:rPr>
              <w:t>.</w:t>
            </w:r>
            <w:r w:rsidRPr="00EF7326">
              <w:rPr>
                <w:rFonts w:ascii="Times New Roman" w:hAnsi="Times New Roman"/>
                <w:color w:val="000000" w:themeColor="text1"/>
                <w:sz w:val="24"/>
                <w:szCs w:val="28"/>
                <w:lang w:val="de-DE"/>
              </w:rPr>
              <w:t xml:space="preserve">  </w:t>
            </w:r>
          </w:p>
          <w:p w14:paraId="23F22258" w14:textId="65DB75C5"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Formelle Risikobewertungen (</w:t>
            </w:r>
            <w:r w:rsidR="002D082A">
              <w:rPr>
                <w:rFonts w:ascii="Times New Roman" w:hAnsi="Times New Roman"/>
                <w:color w:val="000000" w:themeColor="text1"/>
                <w:sz w:val="24"/>
                <w:szCs w:val="28"/>
                <w:lang w:val="de-DE"/>
              </w:rPr>
              <w:t xml:space="preserve">Risk Assessment, </w:t>
            </w:r>
            <w:r w:rsidRPr="00EF7326">
              <w:rPr>
                <w:rFonts w:ascii="Times New Roman" w:hAnsi="Times New Roman"/>
                <w:color w:val="000000" w:themeColor="text1"/>
                <w:sz w:val="24"/>
                <w:szCs w:val="28"/>
                <w:lang w:val="de-DE"/>
              </w:rPr>
              <w:t>RA) und Analysen der Auswirkungen auf den Geschäftsbetrieb (</w:t>
            </w:r>
            <w:r w:rsidR="002D082A">
              <w:rPr>
                <w:rFonts w:ascii="Times New Roman" w:hAnsi="Times New Roman"/>
                <w:color w:val="000000" w:themeColor="text1"/>
                <w:sz w:val="24"/>
                <w:szCs w:val="28"/>
                <w:lang w:val="de-DE"/>
              </w:rPr>
              <w:t xml:space="preserve">Business Impact Analysis, </w:t>
            </w:r>
            <w:r w:rsidRPr="00EF7326">
              <w:rPr>
                <w:rFonts w:ascii="Times New Roman" w:hAnsi="Times New Roman"/>
                <w:color w:val="000000" w:themeColor="text1"/>
                <w:sz w:val="24"/>
                <w:szCs w:val="28"/>
                <w:lang w:val="de-DE"/>
              </w:rPr>
              <w:t>BIA) müssen Anforderungen an die Datenaufbewahrung und -vernichtung enthalten; RAs und BIAs müssen mindestens jährlich aktualisiert werden, um sicherzustellen, dass sie mit den Anforderungen des Geschäftsbetriebs und seiner Technologie übereinstimmen.</w:t>
            </w:r>
          </w:p>
          <w:p w14:paraId="1B1C4A1C" w14:textId="3766F07F"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Die Pläne </w:t>
            </w:r>
            <w:r w:rsidR="00BB5508" w:rsidRPr="00EF7326">
              <w:rPr>
                <w:rFonts w:ascii="Times New Roman" w:hAnsi="Times New Roman"/>
                <w:color w:val="000000" w:themeColor="text1"/>
                <w:sz w:val="24"/>
                <w:szCs w:val="28"/>
                <w:lang w:val="de-DE"/>
              </w:rPr>
              <w:t xml:space="preserve">und Zeitpläne </w:t>
            </w:r>
            <w:r w:rsidRPr="00EF7326">
              <w:rPr>
                <w:rFonts w:ascii="Times New Roman" w:hAnsi="Times New Roman"/>
                <w:color w:val="000000" w:themeColor="text1"/>
                <w:sz w:val="24"/>
                <w:szCs w:val="28"/>
                <w:lang w:val="de-DE"/>
              </w:rPr>
              <w:t xml:space="preserve">für die Datenaufbewahrung und -vernichtung beziehen sich auf elektronische Daten, die auf elektronischen Medien wie CDs, Festplattenlaufwerken, Solid-State-Laufwerken, Magnetbändern und anderen </w:t>
            </w:r>
            <w:r w:rsidR="00BB5508" w:rsidRPr="00EF7326">
              <w:rPr>
                <w:rFonts w:ascii="Times New Roman" w:hAnsi="Times New Roman"/>
                <w:color w:val="000000" w:themeColor="text1"/>
                <w:sz w:val="24"/>
                <w:szCs w:val="28"/>
                <w:lang w:val="de-DE"/>
              </w:rPr>
              <w:t xml:space="preserve">zugelassenen </w:t>
            </w:r>
            <w:r w:rsidRPr="00EF7326">
              <w:rPr>
                <w:rFonts w:ascii="Times New Roman" w:hAnsi="Times New Roman"/>
                <w:color w:val="000000" w:themeColor="text1"/>
                <w:sz w:val="24"/>
                <w:szCs w:val="28"/>
                <w:lang w:val="de-DE"/>
              </w:rPr>
              <w:t>Medien gespeichert sind.</w:t>
            </w:r>
          </w:p>
          <w:p w14:paraId="2753DA3B" w14:textId="491E4E6E"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Die Pläne </w:t>
            </w:r>
            <w:r w:rsidR="00BB5508" w:rsidRPr="00EF7326">
              <w:rPr>
                <w:rFonts w:ascii="Times New Roman" w:hAnsi="Times New Roman"/>
                <w:color w:val="000000" w:themeColor="text1"/>
                <w:sz w:val="24"/>
                <w:szCs w:val="28"/>
                <w:lang w:val="de-DE"/>
              </w:rPr>
              <w:t xml:space="preserve">und Zeitpläne </w:t>
            </w:r>
            <w:r w:rsidRPr="00EF7326">
              <w:rPr>
                <w:rFonts w:ascii="Times New Roman" w:hAnsi="Times New Roman"/>
                <w:color w:val="000000" w:themeColor="text1"/>
                <w:sz w:val="24"/>
                <w:szCs w:val="28"/>
                <w:lang w:val="de-DE"/>
              </w:rPr>
              <w:t>für die Datenaufbewahrung und -vernichtung beziehen sich auf Daten, die auf nichtelektronischen Datenträgern (</w:t>
            </w:r>
            <w:r w:rsidR="002D082A">
              <w:rPr>
                <w:rFonts w:ascii="Times New Roman" w:hAnsi="Times New Roman"/>
                <w:color w:val="000000" w:themeColor="text1"/>
                <w:sz w:val="24"/>
                <w:szCs w:val="28"/>
                <w:lang w:val="de-DE"/>
              </w:rPr>
              <w:t>zum Beispiel</w:t>
            </w:r>
            <w:r w:rsidRPr="00EF7326">
              <w:rPr>
                <w:rFonts w:ascii="Times New Roman" w:hAnsi="Times New Roman"/>
                <w:color w:val="000000" w:themeColor="text1"/>
                <w:sz w:val="24"/>
                <w:szCs w:val="28"/>
                <w:lang w:val="de-DE"/>
              </w:rPr>
              <w:t xml:space="preserve"> Papierakten, Mikrofiche) gespeichert sind.</w:t>
            </w:r>
          </w:p>
          <w:p w14:paraId="56E7DCE7" w14:textId="161BE12E"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Die Pläne </w:t>
            </w:r>
            <w:r w:rsidR="00BB5508" w:rsidRPr="00EF7326">
              <w:rPr>
                <w:rFonts w:ascii="Times New Roman" w:hAnsi="Times New Roman"/>
                <w:color w:val="000000" w:themeColor="text1"/>
                <w:sz w:val="24"/>
                <w:szCs w:val="28"/>
                <w:lang w:val="de-DE"/>
              </w:rPr>
              <w:t xml:space="preserve">und Zeitpläne </w:t>
            </w:r>
            <w:r w:rsidRPr="00EF7326">
              <w:rPr>
                <w:rFonts w:ascii="Times New Roman" w:hAnsi="Times New Roman"/>
                <w:color w:val="000000" w:themeColor="text1"/>
                <w:sz w:val="24"/>
                <w:szCs w:val="28"/>
                <w:lang w:val="de-DE"/>
              </w:rPr>
              <w:t>für die Datenaufbewahrung und -vernichtung beziehen sich auf elektronische Informationssysteme (</w:t>
            </w:r>
            <w:r w:rsidR="002D082A">
              <w:rPr>
                <w:rFonts w:ascii="Times New Roman" w:hAnsi="Times New Roman"/>
                <w:color w:val="000000" w:themeColor="text1"/>
                <w:sz w:val="24"/>
                <w:szCs w:val="28"/>
                <w:lang w:val="de-DE"/>
              </w:rPr>
              <w:t>zum Beispiel</w:t>
            </w:r>
            <w:r w:rsidRPr="00EF7326">
              <w:rPr>
                <w:rFonts w:ascii="Times New Roman" w:hAnsi="Times New Roman"/>
                <w:color w:val="000000" w:themeColor="text1"/>
                <w:sz w:val="24"/>
                <w:szCs w:val="28"/>
                <w:lang w:val="de-DE"/>
              </w:rPr>
              <w:t xml:space="preserve"> Server, Router, Switches) und Komponenten (</w:t>
            </w:r>
            <w:r w:rsidR="002D082A">
              <w:rPr>
                <w:rFonts w:ascii="Times New Roman" w:hAnsi="Times New Roman"/>
                <w:color w:val="000000" w:themeColor="text1"/>
                <w:sz w:val="24"/>
                <w:szCs w:val="28"/>
                <w:lang w:val="de-DE"/>
              </w:rPr>
              <w:t>zum Beispiel</w:t>
            </w:r>
            <w:r w:rsidRPr="00EF7326">
              <w:rPr>
                <w:rFonts w:ascii="Times New Roman" w:hAnsi="Times New Roman"/>
                <w:color w:val="000000" w:themeColor="text1"/>
                <w:sz w:val="24"/>
                <w:szCs w:val="28"/>
                <w:lang w:val="de-DE"/>
              </w:rPr>
              <w:t xml:space="preserve"> Verkabelung und Anschlüsse, Netzteile, Speicherschränke) sowie auf andere Vermögenswerte, die derzeit nicht mehr produziert werden oder deren Ausmusterung aus Produktionsumgebungen geplant ist</w:t>
            </w:r>
            <w:r w:rsidR="00614F11" w:rsidRPr="00EF7326">
              <w:rPr>
                <w:rFonts w:ascii="Times New Roman" w:hAnsi="Times New Roman"/>
                <w:color w:val="000000" w:themeColor="text1"/>
                <w:sz w:val="24"/>
                <w:szCs w:val="28"/>
                <w:lang w:val="de-DE"/>
              </w:rPr>
              <w:t>.</w:t>
            </w:r>
          </w:p>
          <w:p w14:paraId="18127119" w14:textId="64D944FF"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In den Plänen </w:t>
            </w:r>
            <w:r w:rsidR="00BB5508" w:rsidRPr="00EF7326">
              <w:rPr>
                <w:rFonts w:ascii="Times New Roman" w:hAnsi="Times New Roman"/>
                <w:color w:val="000000" w:themeColor="text1"/>
                <w:sz w:val="24"/>
                <w:szCs w:val="28"/>
                <w:lang w:val="de-DE"/>
              </w:rPr>
              <w:t xml:space="preserve">und Zeitplänen </w:t>
            </w:r>
            <w:r w:rsidRPr="00EF7326">
              <w:rPr>
                <w:rFonts w:ascii="Times New Roman" w:hAnsi="Times New Roman"/>
                <w:color w:val="000000" w:themeColor="text1"/>
                <w:sz w:val="24"/>
                <w:szCs w:val="28"/>
                <w:lang w:val="de-DE"/>
              </w:rPr>
              <w:t>für die Datenaufbewahrung werden die Aufbewahrungsanforderungen und die zugehörigen Metriken (</w:t>
            </w:r>
            <w:r w:rsidR="002D082A">
              <w:rPr>
                <w:rFonts w:ascii="Times New Roman" w:hAnsi="Times New Roman"/>
                <w:color w:val="000000" w:themeColor="text1"/>
                <w:sz w:val="24"/>
                <w:szCs w:val="28"/>
                <w:lang w:val="de-DE"/>
              </w:rPr>
              <w:t>zum Beispiel</w:t>
            </w:r>
            <w:r w:rsidRPr="00EF7326">
              <w:rPr>
                <w:rFonts w:ascii="Times New Roman" w:hAnsi="Times New Roman"/>
                <w:color w:val="000000" w:themeColor="text1"/>
                <w:sz w:val="24"/>
                <w:szCs w:val="28"/>
                <w:lang w:val="de-DE"/>
              </w:rPr>
              <w:t xml:space="preserve"> Dauer der Aufbewahrung, Art der Speichermedien) für elektronische und nichtelektronische Informationen sowie für die Systeme zur Unterstützung der IT-Infrastruktur festgelegt</w:t>
            </w:r>
            <w:r w:rsidR="00614F11" w:rsidRPr="00EF7326">
              <w:rPr>
                <w:rFonts w:ascii="Times New Roman" w:hAnsi="Times New Roman"/>
                <w:color w:val="000000" w:themeColor="text1"/>
                <w:sz w:val="24"/>
                <w:szCs w:val="28"/>
                <w:lang w:val="de-DE"/>
              </w:rPr>
              <w:t>.</w:t>
            </w:r>
          </w:p>
          <w:p w14:paraId="16898422" w14:textId="0922DDA0"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In den Plänen </w:t>
            </w:r>
            <w:r w:rsidR="00A211BD" w:rsidRPr="00EF7326">
              <w:rPr>
                <w:rFonts w:ascii="Times New Roman" w:hAnsi="Times New Roman"/>
                <w:color w:val="000000" w:themeColor="text1"/>
                <w:sz w:val="24"/>
                <w:szCs w:val="28"/>
                <w:lang w:val="de-DE"/>
              </w:rPr>
              <w:t xml:space="preserve">und Zeitplänen </w:t>
            </w:r>
            <w:r w:rsidRPr="00EF7326">
              <w:rPr>
                <w:rFonts w:ascii="Times New Roman" w:hAnsi="Times New Roman"/>
                <w:color w:val="000000" w:themeColor="text1"/>
                <w:sz w:val="24"/>
                <w:szCs w:val="28"/>
                <w:lang w:val="de-DE"/>
              </w:rPr>
              <w:t>für die Datenvernichtung sind die Parameter für die Vernichtung elektronischer Daten (</w:t>
            </w:r>
            <w:r w:rsidR="002D082A">
              <w:rPr>
                <w:rFonts w:ascii="Times New Roman" w:hAnsi="Times New Roman"/>
                <w:color w:val="000000" w:themeColor="text1"/>
                <w:sz w:val="24"/>
                <w:szCs w:val="28"/>
                <w:lang w:val="de-DE"/>
              </w:rPr>
              <w:t>zum Beispiel</w:t>
            </w:r>
            <w:r w:rsidRPr="00EF7326">
              <w:rPr>
                <w:rFonts w:ascii="Times New Roman" w:hAnsi="Times New Roman"/>
                <w:color w:val="000000" w:themeColor="text1"/>
                <w:sz w:val="24"/>
                <w:szCs w:val="28"/>
                <w:lang w:val="de-DE"/>
              </w:rPr>
              <w:t xml:space="preserve"> Überschreiben, Neuformatierung, Degaussing, Löschen mit Hilfe von Firmware, Vernichtung physischer Datenträger), nichtelektronischer Daten (</w:t>
            </w:r>
            <w:r w:rsidR="002D082A">
              <w:rPr>
                <w:rFonts w:ascii="Times New Roman" w:hAnsi="Times New Roman"/>
                <w:color w:val="000000" w:themeColor="text1"/>
                <w:sz w:val="24"/>
                <w:szCs w:val="28"/>
                <w:lang w:val="de-DE"/>
              </w:rPr>
              <w:t>zum Beispiel</w:t>
            </w:r>
            <w:r w:rsidRPr="00EF7326">
              <w:rPr>
                <w:rFonts w:ascii="Times New Roman" w:hAnsi="Times New Roman"/>
                <w:color w:val="000000" w:themeColor="text1"/>
                <w:sz w:val="24"/>
                <w:szCs w:val="28"/>
                <w:lang w:val="de-DE"/>
              </w:rPr>
              <w:t xml:space="preserve"> Schreddern von Ausdrucken) sowie von Systemen und Komponenten (</w:t>
            </w:r>
            <w:r w:rsidR="002D082A">
              <w:rPr>
                <w:rFonts w:ascii="Times New Roman" w:hAnsi="Times New Roman"/>
                <w:color w:val="000000" w:themeColor="text1"/>
                <w:sz w:val="24"/>
                <w:szCs w:val="28"/>
                <w:lang w:val="de-DE"/>
              </w:rPr>
              <w:t>zum Beispiel</w:t>
            </w:r>
            <w:r w:rsidRPr="00EF7326">
              <w:rPr>
                <w:rFonts w:ascii="Times New Roman" w:hAnsi="Times New Roman"/>
                <w:color w:val="000000" w:themeColor="text1"/>
                <w:sz w:val="24"/>
                <w:szCs w:val="28"/>
                <w:lang w:val="de-DE"/>
              </w:rPr>
              <w:t xml:space="preserve"> Vernichtungsdienste Dritter) festzulegen</w:t>
            </w:r>
            <w:r w:rsidR="00614F11" w:rsidRPr="00EF7326">
              <w:rPr>
                <w:rFonts w:ascii="Times New Roman" w:hAnsi="Times New Roman"/>
                <w:color w:val="000000" w:themeColor="text1"/>
                <w:sz w:val="24"/>
                <w:szCs w:val="28"/>
                <w:lang w:val="de-DE"/>
              </w:rPr>
              <w:t>.</w:t>
            </w:r>
          </w:p>
          <w:p w14:paraId="349EBABC" w14:textId="48F9AB23"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Die Pläne </w:t>
            </w:r>
            <w:r w:rsidR="00A211BD" w:rsidRPr="00EF7326">
              <w:rPr>
                <w:rFonts w:ascii="Times New Roman" w:hAnsi="Times New Roman"/>
                <w:color w:val="000000" w:themeColor="text1"/>
                <w:sz w:val="24"/>
                <w:szCs w:val="28"/>
                <w:lang w:val="de-DE"/>
              </w:rPr>
              <w:t xml:space="preserve">und Zeitpläne </w:t>
            </w:r>
            <w:r w:rsidRPr="00EF7326">
              <w:rPr>
                <w:rFonts w:ascii="Times New Roman" w:hAnsi="Times New Roman"/>
                <w:color w:val="000000" w:themeColor="text1"/>
                <w:sz w:val="24"/>
                <w:szCs w:val="28"/>
                <w:lang w:val="de-DE"/>
              </w:rPr>
              <w:t xml:space="preserve">für die Datenaufbewahrung und -vernichtung sind regelmäßig zu überprüfen und in einer geeigneten Umgebung zu testen, um sicherzustellen, dass Daten, </w:t>
            </w:r>
            <w:r w:rsidRPr="00EF7326">
              <w:rPr>
                <w:rFonts w:ascii="Times New Roman" w:hAnsi="Times New Roman"/>
                <w:color w:val="000000" w:themeColor="text1"/>
                <w:sz w:val="24"/>
                <w:szCs w:val="28"/>
                <w:lang w:val="de-DE"/>
              </w:rPr>
              <w:lastRenderedPageBreak/>
              <w:t xml:space="preserve">Datenbanken, Medien, Systeme und andere relevante Elemente aufbewahrt oder vernichtet werden können und dass die Leitung und die Mitarbeiter von &lt;Name des Unternehmens&gt; verstehen, wie die Pläne </w:t>
            </w:r>
            <w:r w:rsidR="00A211BD" w:rsidRPr="00EF7326">
              <w:rPr>
                <w:rFonts w:ascii="Times New Roman" w:hAnsi="Times New Roman"/>
                <w:color w:val="000000" w:themeColor="text1"/>
                <w:sz w:val="24"/>
                <w:szCs w:val="28"/>
                <w:lang w:val="de-DE"/>
              </w:rPr>
              <w:t xml:space="preserve">und Zeitpläne </w:t>
            </w:r>
            <w:r w:rsidRPr="00EF7326">
              <w:rPr>
                <w:rFonts w:ascii="Times New Roman" w:hAnsi="Times New Roman"/>
                <w:color w:val="000000" w:themeColor="text1"/>
                <w:sz w:val="24"/>
                <w:szCs w:val="28"/>
                <w:lang w:val="de-DE"/>
              </w:rPr>
              <w:t>auszuführen sind und welche Aufgaben und Verantwortlichkeiten sie haben.</w:t>
            </w:r>
          </w:p>
          <w:p w14:paraId="486E827B" w14:textId="0325076A" w:rsidR="00A211BD" w:rsidRPr="00EF7326" w:rsidRDefault="00A211BD"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Die Pläne und Zeitpläne für die Datenaufbewahrung und -vernichtung stehen im Einklang mit den Umwelt- und Nachhaltigkeitsprogrammen, die das Unternehmen eingeführt hat</w:t>
            </w:r>
          </w:p>
          <w:p w14:paraId="52908DC3" w14:textId="2A5D4552"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Alle Mitarbeiter müssen über das Programm zur Aufbewahrung und Vernichtung von Daten sowie über ihre eigenen Aufgaben und Verantwortlichkeiten informiert </w:t>
            </w:r>
            <w:r w:rsidR="00614F11" w:rsidRPr="00EF7326">
              <w:rPr>
                <w:rFonts w:ascii="Times New Roman" w:hAnsi="Times New Roman"/>
                <w:color w:val="000000" w:themeColor="text1"/>
                <w:sz w:val="24"/>
                <w:szCs w:val="28"/>
                <w:lang w:val="de-DE"/>
              </w:rPr>
              <w:t>werden.</w:t>
            </w:r>
          </w:p>
          <w:p w14:paraId="0E9B4CF5" w14:textId="77777777" w:rsidR="00BD7F03" w:rsidRPr="00EF7326" w:rsidRDefault="00BD7F03" w:rsidP="00BD7F03">
            <w:pPr>
              <w:numPr>
                <w:ilvl w:val="0"/>
                <w:numId w:val="1"/>
              </w:num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Die Pläne für die Aufbewahrung und Vernichtung von Daten und andere Dokumente sind auf dem neuesten Stand zu halten und spiegeln bestehende und sich ändernde Umstände wider.</w:t>
            </w:r>
          </w:p>
          <w:p w14:paraId="76E401AE" w14:textId="77777777" w:rsidR="00BD7F03" w:rsidRPr="00EF7326" w:rsidRDefault="00BD7F03" w:rsidP="002422A9">
            <w:pPr>
              <w:rPr>
                <w:rFonts w:ascii="Times New Roman" w:hAnsi="Times New Roman"/>
                <w:color w:val="000000" w:themeColor="text1"/>
                <w:sz w:val="24"/>
                <w:szCs w:val="28"/>
                <w:lang w:val="de-DE"/>
              </w:rPr>
            </w:pPr>
          </w:p>
        </w:tc>
      </w:tr>
      <w:tr w:rsidR="00BD7F03" w:rsidRPr="00EF7326" w14:paraId="1225D69A" w14:textId="77777777" w:rsidTr="002422A9">
        <w:tc>
          <w:tcPr>
            <w:tcW w:w="9576" w:type="dxa"/>
            <w:gridSpan w:val="2"/>
          </w:tcPr>
          <w:p w14:paraId="32D0F999" w14:textId="77777777" w:rsidR="00BD7F03" w:rsidRPr="00EF7326" w:rsidRDefault="00BD7F03" w:rsidP="002422A9">
            <w:pPr>
              <w:autoSpaceDE w:val="0"/>
              <w:autoSpaceDN w:val="0"/>
              <w:adjustRightInd w:val="0"/>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lastRenderedPageBreak/>
              <w:t xml:space="preserve">Spezifikationen zur Datenaufbewahrung und -vernichtung </w:t>
            </w:r>
          </w:p>
          <w:p w14:paraId="160426C5"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38501248"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Nachfolgend sind die spezifischen technischen Anforderungen für die Aufbewahrung und Vernichtung von Daten aufgeführt:</w:t>
            </w:r>
          </w:p>
          <w:p w14:paraId="72DA2F44" w14:textId="77777777" w:rsidR="00BD7F03" w:rsidRPr="00EF7326" w:rsidRDefault="00BD7F03" w:rsidP="002422A9">
            <w:pPr>
              <w:rPr>
                <w:rFonts w:ascii="Times New Roman" w:hAnsi="Times New Roman"/>
                <w:color w:val="000000" w:themeColor="text1"/>
                <w:sz w:val="24"/>
                <w:szCs w:val="28"/>
                <w:lang w:val="de-DE"/>
              </w:rPr>
            </w:pPr>
          </w:p>
          <w:p w14:paraId="37543F1C" w14:textId="77777777" w:rsidR="00BD7F03" w:rsidRPr="005722E6" w:rsidRDefault="00BD7F03" w:rsidP="002422A9">
            <w:pPr>
              <w:pStyle w:val="BodyText"/>
              <w:rPr>
                <w:rFonts w:ascii="Times New Roman" w:hAnsi="Times New Roman" w:cs="Times New Roman"/>
                <w:b/>
                <w:color w:val="000000" w:themeColor="text1"/>
                <w:sz w:val="24"/>
                <w:szCs w:val="28"/>
              </w:rPr>
            </w:pPr>
            <w:r w:rsidRPr="005722E6">
              <w:rPr>
                <w:rFonts w:ascii="Times New Roman" w:hAnsi="Times New Roman" w:cs="Times New Roman"/>
                <w:b/>
                <w:color w:val="000000" w:themeColor="text1"/>
                <w:sz w:val="24"/>
                <w:szCs w:val="28"/>
              </w:rPr>
              <w:t>Allgemein</w:t>
            </w:r>
          </w:p>
          <w:p w14:paraId="3605F54E" w14:textId="2A6E9582" w:rsidR="00BD7F03" w:rsidRPr="00EF7326" w:rsidRDefault="00BD7F03" w:rsidP="00BD7F03">
            <w:pPr>
              <w:pStyle w:val="BodyText"/>
              <w:numPr>
                <w:ilvl w:val="0"/>
                <w:numId w:val="3"/>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die Häufigkeit und die Art der durchzuführenden Daten-/Systemaufbewahrungsaktivitäten an</w:t>
            </w:r>
            <w:r w:rsidR="00A00E61" w:rsidRPr="00EF7326">
              <w:rPr>
                <w:rFonts w:ascii="Times New Roman" w:hAnsi="Times New Roman" w:cs="Times New Roman"/>
                <w:color w:val="000000" w:themeColor="text1"/>
                <w:sz w:val="24"/>
                <w:szCs w:val="28"/>
                <w:lang w:val="de-DE"/>
              </w:rPr>
              <w:t>.</w:t>
            </w:r>
          </w:p>
          <w:p w14:paraId="1DA08CE7" w14:textId="3708B867" w:rsidR="00BD7F03" w:rsidRPr="00EF7326" w:rsidRDefault="00BD7F03" w:rsidP="00BD7F03">
            <w:pPr>
              <w:pStyle w:val="BodyText"/>
              <w:numPr>
                <w:ilvl w:val="0"/>
                <w:numId w:val="3"/>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die Häufigkeit und Art der durchzuführenden Daten-/Systemvernichtungsmaßnahmen an</w:t>
            </w:r>
            <w:r w:rsidR="00A00E61" w:rsidRPr="00EF7326">
              <w:rPr>
                <w:rFonts w:ascii="Times New Roman" w:hAnsi="Times New Roman" w:cs="Times New Roman"/>
                <w:color w:val="000000" w:themeColor="text1"/>
                <w:sz w:val="24"/>
                <w:szCs w:val="28"/>
                <w:lang w:val="de-DE"/>
              </w:rPr>
              <w:t>.</w:t>
            </w:r>
          </w:p>
          <w:p w14:paraId="334A2C0C" w14:textId="5670DE67" w:rsidR="00A211BD" w:rsidRPr="00EF7326" w:rsidRDefault="00A211BD" w:rsidP="00BD7F03">
            <w:pPr>
              <w:pStyle w:val="BodyText"/>
              <w:numPr>
                <w:ilvl w:val="0"/>
                <w:numId w:val="3"/>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den Zeitplan für die Aufbewahrung und Vernichtung von Daten an</w:t>
            </w:r>
            <w:r w:rsidR="00A00E61" w:rsidRPr="00EF7326">
              <w:rPr>
                <w:rFonts w:ascii="Times New Roman" w:hAnsi="Times New Roman" w:cs="Times New Roman"/>
                <w:color w:val="000000" w:themeColor="text1"/>
                <w:sz w:val="24"/>
                <w:szCs w:val="28"/>
                <w:lang w:val="de-DE"/>
              </w:rPr>
              <w:t>.</w:t>
            </w:r>
          </w:p>
          <w:p w14:paraId="3F888FB1" w14:textId="37B694D4" w:rsidR="00BD7F03" w:rsidRPr="00EF7326" w:rsidRDefault="00BD7F03" w:rsidP="00BD7F03">
            <w:pPr>
              <w:pStyle w:val="BodyText"/>
              <w:numPr>
                <w:ilvl w:val="0"/>
                <w:numId w:val="3"/>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an, wer (</w:t>
            </w:r>
            <w:r w:rsidR="002D082A">
              <w:rPr>
                <w:rFonts w:ascii="Times New Roman" w:hAnsi="Times New Roman" w:cs="Times New Roman"/>
                <w:color w:val="000000" w:themeColor="text1"/>
                <w:sz w:val="24"/>
                <w:szCs w:val="28"/>
                <w:lang w:val="de-DE"/>
              </w:rPr>
              <w:t>zum Beispiel</w:t>
            </w:r>
            <w:r w:rsidRPr="00EF7326">
              <w:rPr>
                <w:rFonts w:ascii="Times New Roman" w:hAnsi="Times New Roman" w:cs="Times New Roman"/>
                <w:color w:val="000000" w:themeColor="text1"/>
                <w:sz w:val="24"/>
                <w:szCs w:val="28"/>
                <w:lang w:val="de-DE"/>
              </w:rPr>
              <w:t xml:space="preserve"> internes Personal, externe Dritte) für die Aufbewahrung und Vernichtung der Daten verantwortlich ist</w:t>
            </w:r>
            <w:r w:rsidR="00A00E61" w:rsidRPr="00EF7326">
              <w:rPr>
                <w:rFonts w:ascii="Times New Roman" w:hAnsi="Times New Roman" w:cs="Times New Roman"/>
                <w:color w:val="000000" w:themeColor="text1"/>
                <w:sz w:val="24"/>
                <w:szCs w:val="28"/>
                <w:lang w:val="de-DE"/>
              </w:rPr>
              <w:t>.</w:t>
            </w:r>
          </w:p>
          <w:p w14:paraId="74FD5024" w14:textId="69CA979A" w:rsidR="00BD7F03" w:rsidRPr="00EF7326" w:rsidRDefault="00BD7F03" w:rsidP="00BD7F03">
            <w:pPr>
              <w:pStyle w:val="BodyText"/>
              <w:numPr>
                <w:ilvl w:val="0"/>
                <w:numId w:val="3"/>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an, wer zu benachrichtigen ist, wenn ein Problem mit den Aufbewahrungs- und Vernichtungsaktivitäten festgestellt wird</w:t>
            </w:r>
            <w:r w:rsidR="00A00E61" w:rsidRPr="00EF7326">
              <w:rPr>
                <w:rFonts w:ascii="Times New Roman" w:hAnsi="Times New Roman" w:cs="Times New Roman"/>
                <w:color w:val="000000" w:themeColor="text1"/>
                <w:sz w:val="24"/>
                <w:szCs w:val="28"/>
                <w:lang w:val="de-DE"/>
              </w:rPr>
              <w:t>.</w:t>
            </w:r>
          </w:p>
          <w:p w14:paraId="34F862ED" w14:textId="77777777" w:rsidR="00BD7F03" w:rsidRPr="00EF7326" w:rsidRDefault="00BD7F03" w:rsidP="002422A9">
            <w:pPr>
              <w:pStyle w:val="BodyText"/>
              <w:rPr>
                <w:rFonts w:ascii="Times New Roman" w:hAnsi="Times New Roman" w:cs="Times New Roman"/>
                <w:b/>
                <w:color w:val="000000" w:themeColor="text1"/>
                <w:sz w:val="24"/>
                <w:szCs w:val="28"/>
                <w:lang w:val="de-DE"/>
              </w:rPr>
            </w:pPr>
          </w:p>
          <w:p w14:paraId="37F7DCAA" w14:textId="77777777" w:rsidR="00BD7F03" w:rsidRPr="00EF7326" w:rsidRDefault="00BD7F03" w:rsidP="002422A9">
            <w:pPr>
              <w:pStyle w:val="BodyText"/>
              <w:rPr>
                <w:rFonts w:ascii="Times New Roman" w:hAnsi="Times New Roman" w:cs="Times New Roman"/>
                <w:b/>
                <w:color w:val="000000" w:themeColor="text1"/>
                <w:sz w:val="24"/>
                <w:szCs w:val="28"/>
                <w:lang w:val="de-DE"/>
              </w:rPr>
            </w:pPr>
            <w:r w:rsidRPr="00EF7326">
              <w:rPr>
                <w:rFonts w:ascii="Times New Roman" w:hAnsi="Times New Roman" w:cs="Times New Roman"/>
                <w:b/>
                <w:color w:val="000000" w:themeColor="text1"/>
                <w:sz w:val="24"/>
                <w:szCs w:val="28"/>
                <w:lang w:val="de-DE"/>
              </w:rPr>
              <w:t xml:space="preserve">Verfahren zur Aufbewahrung von Daten/Systemen </w:t>
            </w:r>
          </w:p>
          <w:p w14:paraId="3AD932EF" w14:textId="750D1B3B" w:rsidR="00BD7F03" w:rsidRPr="00EF7326" w:rsidRDefault="00BD7F03" w:rsidP="00BD7F03">
            <w:pPr>
              <w:pStyle w:val="BodyText"/>
              <w:numPr>
                <w:ilvl w:val="0"/>
                <w:numId w:val="4"/>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an, wie die Daten (</w:t>
            </w:r>
            <w:r w:rsidR="002D082A">
              <w:rPr>
                <w:rFonts w:ascii="Times New Roman" w:hAnsi="Times New Roman" w:cs="Times New Roman"/>
                <w:color w:val="000000" w:themeColor="text1"/>
                <w:sz w:val="24"/>
                <w:szCs w:val="28"/>
                <w:lang w:val="de-DE"/>
              </w:rPr>
              <w:t>zum Beispiel</w:t>
            </w:r>
            <w:r w:rsidRPr="00EF7326">
              <w:rPr>
                <w:rFonts w:ascii="Times New Roman" w:hAnsi="Times New Roman" w:cs="Times New Roman"/>
                <w:color w:val="000000" w:themeColor="text1"/>
                <w:sz w:val="24"/>
                <w:szCs w:val="28"/>
                <w:lang w:val="de-DE"/>
              </w:rPr>
              <w:t xml:space="preserve"> elektronisch und nicht-elektronisch) gespeichert und aufbewahrt werden</w:t>
            </w:r>
          </w:p>
          <w:p w14:paraId="3983D81C" w14:textId="7FAD548C" w:rsidR="00BD7F03" w:rsidRPr="00EF7326" w:rsidRDefault="00BD7F03" w:rsidP="00BD7F03">
            <w:pPr>
              <w:pStyle w:val="BodyText"/>
              <w:numPr>
                <w:ilvl w:val="0"/>
                <w:numId w:val="4"/>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an, wie die Systeme gespeichert und aufbewahrt werden</w:t>
            </w:r>
            <w:r w:rsidR="00A00E61" w:rsidRPr="00EF7326">
              <w:rPr>
                <w:rFonts w:ascii="Times New Roman" w:hAnsi="Times New Roman" w:cs="Times New Roman"/>
                <w:color w:val="000000" w:themeColor="text1"/>
                <w:sz w:val="24"/>
                <w:szCs w:val="28"/>
                <w:lang w:val="de-DE"/>
              </w:rPr>
              <w:t>.</w:t>
            </w:r>
          </w:p>
          <w:p w14:paraId="1206897C" w14:textId="5DCB350D" w:rsidR="00A211BD" w:rsidRPr="00EF7326" w:rsidRDefault="00A211BD" w:rsidP="00BD7F03">
            <w:pPr>
              <w:pStyle w:val="BodyText"/>
              <w:numPr>
                <w:ilvl w:val="0"/>
                <w:numId w:val="4"/>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den Zeitplan für die Datenaufbewahrung an</w:t>
            </w:r>
            <w:r w:rsidR="00A00E61" w:rsidRPr="00EF7326">
              <w:rPr>
                <w:rFonts w:ascii="Times New Roman" w:hAnsi="Times New Roman" w:cs="Times New Roman"/>
                <w:color w:val="000000" w:themeColor="text1"/>
                <w:sz w:val="24"/>
                <w:szCs w:val="28"/>
                <w:lang w:val="de-DE"/>
              </w:rPr>
              <w:t>.</w:t>
            </w:r>
          </w:p>
          <w:p w14:paraId="1FD50F53" w14:textId="12DA8FDC" w:rsidR="00BD7F03" w:rsidRPr="00EF7326" w:rsidRDefault="00BD7F03" w:rsidP="00BD7F03">
            <w:pPr>
              <w:pStyle w:val="BodyText"/>
              <w:numPr>
                <w:ilvl w:val="0"/>
                <w:numId w:val="4"/>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an, wo die Daten/Systeme gespeichert und aufbewahrt werden</w:t>
            </w:r>
            <w:r w:rsidR="002D082A">
              <w:rPr>
                <w:rFonts w:ascii="Times New Roman" w:hAnsi="Times New Roman" w:cs="Times New Roman"/>
                <w:color w:val="000000" w:themeColor="text1"/>
                <w:sz w:val="24"/>
                <w:szCs w:val="28"/>
                <w:lang w:val="de-DE"/>
              </w:rPr>
              <w:t>.</w:t>
            </w:r>
          </w:p>
          <w:p w14:paraId="4BB99C3F" w14:textId="2D2DDA7A" w:rsidR="00BD7F03" w:rsidRPr="00EF7326" w:rsidRDefault="00BD7F03" w:rsidP="00BD7F03">
            <w:pPr>
              <w:pStyle w:val="BodyText"/>
              <w:numPr>
                <w:ilvl w:val="0"/>
                <w:numId w:val="4"/>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Angabe des Verfahrens, mit dem sichergestellt wird, dass die Aufbewahrungsverfahren ordnungsgemäß funktionieren</w:t>
            </w:r>
            <w:r w:rsidR="00A00E61" w:rsidRPr="00EF7326">
              <w:rPr>
                <w:rFonts w:ascii="Times New Roman" w:hAnsi="Times New Roman" w:cs="Times New Roman"/>
                <w:color w:val="000000" w:themeColor="text1"/>
                <w:sz w:val="24"/>
                <w:szCs w:val="28"/>
                <w:lang w:val="de-DE"/>
              </w:rPr>
              <w:t>.</w:t>
            </w:r>
          </w:p>
          <w:p w14:paraId="2AAC0676" w14:textId="498D3BF4" w:rsidR="00BD7F03" w:rsidRPr="00EF7326" w:rsidRDefault="00BD7F03" w:rsidP="00BD7F03">
            <w:pPr>
              <w:pStyle w:val="BodyText"/>
              <w:numPr>
                <w:ilvl w:val="0"/>
                <w:numId w:val="4"/>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Angabe des Verfahrens zur Validierung der Speicherung von Daten/Medien</w:t>
            </w:r>
            <w:r w:rsidR="00A00E61" w:rsidRPr="00EF7326">
              <w:rPr>
                <w:rFonts w:ascii="Times New Roman" w:hAnsi="Times New Roman" w:cs="Times New Roman"/>
                <w:color w:val="000000" w:themeColor="text1"/>
                <w:sz w:val="24"/>
                <w:szCs w:val="28"/>
                <w:lang w:val="de-DE"/>
              </w:rPr>
              <w:t>.</w:t>
            </w:r>
            <w:r w:rsidRPr="00EF7326">
              <w:rPr>
                <w:rFonts w:ascii="Times New Roman" w:hAnsi="Times New Roman" w:cs="Times New Roman"/>
                <w:color w:val="000000" w:themeColor="text1"/>
                <w:sz w:val="24"/>
                <w:szCs w:val="28"/>
                <w:lang w:val="de-DE"/>
              </w:rPr>
              <w:t xml:space="preserve">  </w:t>
            </w:r>
          </w:p>
          <w:p w14:paraId="2480B416" w14:textId="02FFD084" w:rsidR="00A211BD" w:rsidRPr="00EF7326" w:rsidRDefault="00A211BD" w:rsidP="00BD7F03">
            <w:pPr>
              <w:pStyle w:val="BodyText"/>
              <w:numPr>
                <w:ilvl w:val="0"/>
                <w:numId w:val="4"/>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Angabe des Verfahrens zur Einhaltung der Umwelt- und Nachhaltigkeitsprogramme des Unternehmens</w:t>
            </w:r>
            <w:r w:rsidR="00A00E61" w:rsidRPr="00EF7326">
              <w:rPr>
                <w:rFonts w:ascii="Times New Roman" w:hAnsi="Times New Roman" w:cs="Times New Roman"/>
                <w:color w:val="000000" w:themeColor="text1"/>
                <w:sz w:val="24"/>
                <w:szCs w:val="28"/>
                <w:lang w:val="de-DE"/>
              </w:rPr>
              <w:t>.</w:t>
            </w:r>
          </w:p>
          <w:p w14:paraId="788973F3" w14:textId="77777777" w:rsidR="00BD7F03" w:rsidRPr="00EF7326" w:rsidRDefault="00BD7F03" w:rsidP="002422A9">
            <w:pPr>
              <w:pStyle w:val="BodyText"/>
              <w:rPr>
                <w:rFonts w:ascii="Times New Roman" w:hAnsi="Times New Roman" w:cs="Times New Roman"/>
                <w:b/>
                <w:color w:val="000000" w:themeColor="text1"/>
                <w:sz w:val="24"/>
                <w:szCs w:val="28"/>
                <w:lang w:val="de-DE"/>
              </w:rPr>
            </w:pPr>
          </w:p>
          <w:p w14:paraId="4C3227D0" w14:textId="77777777" w:rsidR="00BD7F03" w:rsidRPr="005722E6" w:rsidRDefault="00BD7F03" w:rsidP="002422A9">
            <w:pPr>
              <w:pStyle w:val="BodyText"/>
              <w:rPr>
                <w:rFonts w:ascii="Times New Roman" w:hAnsi="Times New Roman" w:cs="Times New Roman"/>
                <w:b/>
                <w:color w:val="000000" w:themeColor="text1"/>
                <w:sz w:val="24"/>
                <w:szCs w:val="28"/>
              </w:rPr>
            </w:pPr>
            <w:r w:rsidRPr="005722E6">
              <w:rPr>
                <w:rFonts w:ascii="Times New Roman" w:hAnsi="Times New Roman" w:cs="Times New Roman"/>
                <w:b/>
                <w:color w:val="000000" w:themeColor="text1"/>
                <w:sz w:val="24"/>
                <w:szCs w:val="28"/>
              </w:rPr>
              <w:t>Verfahren zur Daten-/Systemvernichtung</w:t>
            </w:r>
          </w:p>
          <w:p w14:paraId="3B2E3E30" w14:textId="124752D6" w:rsidR="00BD7F03" w:rsidRPr="005722E6" w:rsidRDefault="00BD7F03" w:rsidP="00BD7F03">
            <w:pPr>
              <w:pStyle w:val="BodyText"/>
              <w:numPr>
                <w:ilvl w:val="0"/>
                <w:numId w:val="6"/>
              </w:numPr>
              <w:jc w:val="left"/>
              <w:rPr>
                <w:rFonts w:ascii="Times New Roman" w:hAnsi="Times New Roman" w:cs="Times New Roman"/>
                <w:color w:val="000000" w:themeColor="text1"/>
                <w:sz w:val="24"/>
                <w:szCs w:val="28"/>
              </w:rPr>
            </w:pPr>
            <w:r w:rsidRPr="005722E6">
              <w:rPr>
                <w:rFonts w:ascii="Times New Roman" w:hAnsi="Times New Roman" w:cs="Times New Roman"/>
                <w:color w:val="000000" w:themeColor="text1"/>
                <w:sz w:val="24"/>
                <w:szCs w:val="28"/>
              </w:rPr>
              <w:t>Angabe von Datenvernichtungsmetriken und Zeitrahmen</w:t>
            </w:r>
          </w:p>
          <w:p w14:paraId="7814994A" w14:textId="14F4D64A" w:rsidR="00BD7F03" w:rsidRPr="00EF7326" w:rsidRDefault="00BD7F03" w:rsidP="00BD7F03">
            <w:pPr>
              <w:pStyle w:val="BodyText"/>
              <w:numPr>
                <w:ilvl w:val="0"/>
                <w:numId w:val="6"/>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Angabe des Verfahrens für die Vernichtung von Daten/Systemen</w:t>
            </w:r>
          </w:p>
          <w:p w14:paraId="4949B4A0" w14:textId="4310E8E3" w:rsidR="00BD7F03" w:rsidRPr="00EF7326" w:rsidRDefault="00BD7F03" w:rsidP="00BD7F03">
            <w:pPr>
              <w:pStyle w:val="BodyText"/>
              <w:numPr>
                <w:ilvl w:val="0"/>
                <w:numId w:val="6"/>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Angabe des Verfahrens zur Validierung der Daten-/Medienvernichtung</w:t>
            </w:r>
            <w:r w:rsidR="00A00E61" w:rsidRPr="00EF7326">
              <w:rPr>
                <w:rFonts w:ascii="Times New Roman" w:hAnsi="Times New Roman" w:cs="Times New Roman"/>
                <w:color w:val="000000" w:themeColor="text1"/>
                <w:sz w:val="24"/>
                <w:szCs w:val="28"/>
                <w:lang w:val="de-DE"/>
              </w:rPr>
              <w:t>.</w:t>
            </w:r>
          </w:p>
          <w:p w14:paraId="2BA34AFF" w14:textId="1C61C1E5" w:rsidR="00A211BD" w:rsidRPr="00EF7326" w:rsidRDefault="00A211BD" w:rsidP="00BD7F03">
            <w:pPr>
              <w:pStyle w:val="BodyText"/>
              <w:numPr>
                <w:ilvl w:val="0"/>
                <w:numId w:val="6"/>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Geben Sie den Zeitplan für die Datenvernichtungsaktivitäten an</w:t>
            </w:r>
            <w:r w:rsidR="00A00E61" w:rsidRPr="00EF7326">
              <w:rPr>
                <w:rFonts w:ascii="Times New Roman" w:hAnsi="Times New Roman" w:cs="Times New Roman"/>
                <w:color w:val="000000" w:themeColor="text1"/>
                <w:sz w:val="24"/>
                <w:szCs w:val="28"/>
                <w:lang w:val="de-DE"/>
              </w:rPr>
              <w:t>.</w:t>
            </w:r>
          </w:p>
          <w:p w14:paraId="3280EF8E" w14:textId="58425B0F" w:rsidR="00A211BD" w:rsidRPr="00EF7326" w:rsidRDefault="00A211BD" w:rsidP="00BD7F03">
            <w:pPr>
              <w:pStyle w:val="BodyText"/>
              <w:numPr>
                <w:ilvl w:val="0"/>
                <w:numId w:val="6"/>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lastRenderedPageBreak/>
              <w:t>Angabe des Verfahrens zur Einhaltung der Umwelt- und Nachhaltigkeitsprogramme des Unternehmens</w:t>
            </w:r>
            <w:r w:rsidR="00A00E61" w:rsidRPr="00EF7326">
              <w:rPr>
                <w:rFonts w:ascii="Times New Roman" w:hAnsi="Times New Roman" w:cs="Times New Roman"/>
                <w:color w:val="000000" w:themeColor="text1"/>
                <w:sz w:val="24"/>
                <w:szCs w:val="28"/>
                <w:lang w:val="de-DE"/>
              </w:rPr>
              <w:t>.</w:t>
            </w:r>
          </w:p>
          <w:p w14:paraId="1772E90A" w14:textId="77777777" w:rsidR="00BD7F03" w:rsidRPr="00EF7326" w:rsidRDefault="00BD7F03" w:rsidP="002422A9">
            <w:pPr>
              <w:pStyle w:val="BodyText"/>
              <w:rPr>
                <w:rFonts w:ascii="Times New Roman" w:hAnsi="Times New Roman" w:cs="Times New Roman"/>
                <w:b/>
                <w:color w:val="000000" w:themeColor="text1"/>
                <w:sz w:val="24"/>
                <w:szCs w:val="28"/>
                <w:lang w:val="de-DE"/>
              </w:rPr>
            </w:pPr>
          </w:p>
          <w:p w14:paraId="2E62DEEE" w14:textId="77777777" w:rsidR="00BD7F03" w:rsidRPr="005722E6" w:rsidRDefault="00BD7F03" w:rsidP="002422A9">
            <w:pPr>
              <w:pStyle w:val="BodyText"/>
              <w:rPr>
                <w:rFonts w:ascii="Times New Roman" w:hAnsi="Times New Roman" w:cs="Times New Roman"/>
                <w:b/>
                <w:color w:val="000000" w:themeColor="text1"/>
                <w:sz w:val="24"/>
                <w:szCs w:val="28"/>
              </w:rPr>
            </w:pPr>
            <w:r w:rsidRPr="005722E6">
              <w:rPr>
                <w:rFonts w:ascii="Times New Roman" w:hAnsi="Times New Roman" w:cs="Times New Roman"/>
                <w:b/>
                <w:color w:val="000000" w:themeColor="text1"/>
                <w:sz w:val="24"/>
                <w:szCs w:val="28"/>
              </w:rPr>
              <w:t>Anträge auf Aufbewahrung und Vernichtung</w:t>
            </w:r>
          </w:p>
          <w:p w14:paraId="220F1014" w14:textId="144E4274" w:rsidR="00BD7F03" w:rsidRPr="00EF7326" w:rsidRDefault="00BD7F03" w:rsidP="00BD7F03">
            <w:pPr>
              <w:pStyle w:val="BodyText"/>
              <w:numPr>
                <w:ilvl w:val="0"/>
                <w:numId w:val="5"/>
              </w:numPr>
              <w:jc w:val="left"/>
              <w:rPr>
                <w:rFonts w:ascii="Times New Roman" w:hAnsi="Times New Roman" w:cs="Times New Roman"/>
                <w:color w:val="000000" w:themeColor="text1"/>
                <w:sz w:val="24"/>
                <w:szCs w:val="28"/>
                <w:lang w:val="de-DE"/>
              </w:rPr>
            </w:pPr>
            <w:r w:rsidRPr="00EF7326">
              <w:rPr>
                <w:rFonts w:ascii="Times New Roman" w:hAnsi="Times New Roman" w:cs="Times New Roman"/>
                <w:color w:val="000000" w:themeColor="text1"/>
                <w:sz w:val="24"/>
                <w:szCs w:val="28"/>
                <w:lang w:val="de-DE"/>
              </w:rPr>
              <w:t>Angabe des Verfahrens zur Bearbeitung von Anträgen auf Wiederherstellung und Vernichtung von Daten</w:t>
            </w:r>
          </w:p>
          <w:p w14:paraId="36E88AE9" w14:textId="77777777" w:rsidR="00BD7F03" w:rsidRPr="00EF7326" w:rsidRDefault="00BD7F03" w:rsidP="002422A9">
            <w:pPr>
              <w:pStyle w:val="BodyText"/>
              <w:jc w:val="left"/>
              <w:rPr>
                <w:rFonts w:ascii="Times New Roman" w:hAnsi="Times New Roman" w:cs="Times New Roman"/>
                <w:color w:val="000000" w:themeColor="text1"/>
                <w:sz w:val="24"/>
                <w:szCs w:val="28"/>
                <w:lang w:val="de-DE"/>
              </w:rPr>
            </w:pPr>
          </w:p>
        </w:tc>
      </w:tr>
      <w:tr w:rsidR="00BD7F03" w:rsidRPr="00EF7326" w14:paraId="2F4DFDA3" w14:textId="77777777" w:rsidTr="002422A9">
        <w:tc>
          <w:tcPr>
            <w:tcW w:w="9576" w:type="dxa"/>
            <w:gridSpan w:val="2"/>
          </w:tcPr>
          <w:p w14:paraId="50A69023" w14:textId="77777777" w:rsidR="00BD7F03" w:rsidRPr="00EF7326" w:rsidRDefault="00BD7F03" w:rsidP="002422A9">
            <w:pPr>
              <w:autoSpaceDE w:val="0"/>
              <w:autoSpaceDN w:val="0"/>
              <w:adjustRightInd w:val="0"/>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lastRenderedPageBreak/>
              <w:t xml:space="preserve">Politische Führung </w:t>
            </w:r>
          </w:p>
          <w:p w14:paraId="20F45F6A"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59FD3109" w14:textId="7AC333A3"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Style w:val="Strong"/>
                <w:rFonts w:ascii="Times New Roman" w:hAnsi="Times New Roman"/>
                <w:color w:val="000000" w:themeColor="text1"/>
                <w:sz w:val="24"/>
                <w:szCs w:val="28"/>
                <w:lang w:val="de-DE"/>
              </w:rPr>
              <w:t xml:space="preserve">&lt;Titel der Führungskraft&gt; </w:t>
            </w:r>
            <w:r w:rsidRPr="00EF7326">
              <w:rPr>
                <w:rFonts w:ascii="Times New Roman" w:hAnsi="Times New Roman"/>
                <w:color w:val="000000" w:themeColor="text1"/>
                <w:sz w:val="24"/>
                <w:szCs w:val="28"/>
                <w:lang w:val="de-DE"/>
              </w:rPr>
              <w:t xml:space="preserve">ist der Verantwortliche für die Aufbewahrung und Vernichtung von Daten/Systemen für das Unternehmen. Die Lösung von Problemen bei der Unterstützung von Daten-/Systemaufbewahrungs- und -vernichtungsaktivitäten sollte mit der IT-Leitung und anderen nach Bedarf koordiniert werden. </w:t>
            </w:r>
          </w:p>
          <w:p w14:paraId="614F03B4"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tc>
      </w:tr>
      <w:tr w:rsidR="00BD7F03" w:rsidRPr="00EF7326" w14:paraId="5DBC110C" w14:textId="77777777" w:rsidTr="002422A9">
        <w:tc>
          <w:tcPr>
            <w:tcW w:w="9576" w:type="dxa"/>
            <w:gridSpan w:val="2"/>
          </w:tcPr>
          <w:p w14:paraId="5E08299C" w14:textId="338468A4" w:rsidR="00BD7F03" w:rsidRPr="005722E6" w:rsidRDefault="00BD7F03" w:rsidP="002422A9">
            <w:pPr>
              <w:autoSpaceDE w:val="0"/>
              <w:autoSpaceDN w:val="0"/>
              <w:adjustRightInd w:val="0"/>
              <w:rPr>
                <w:rFonts w:ascii="Times New Roman" w:hAnsi="Times New Roman"/>
                <w:b/>
                <w:color w:val="000000" w:themeColor="text1"/>
                <w:sz w:val="24"/>
                <w:szCs w:val="28"/>
              </w:rPr>
            </w:pPr>
            <w:r w:rsidRPr="005722E6">
              <w:rPr>
                <w:rFonts w:ascii="Times New Roman" w:hAnsi="Times New Roman"/>
                <w:b/>
                <w:color w:val="000000" w:themeColor="text1"/>
                <w:sz w:val="24"/>
                <w:szCs w:val="28"/>
              </w:rPr>
              <w:t>Zuständigkeiten</w:t>
            </w:r>
            <w:r w:rsidR="002D082A">
              <w:rPr>
                <w:rFonts w:ascii="Times New Roman" w:hAnsi="Times New Roman"/>
                <w:b/>
                <w:color w:val="000000" w:themeColor="text1"/>
                <w:sz w:val="24"/>
                <w:szCs w:val="28"/>
              </w:rPr>
              <w:t xml:space="preserve"> für die Policy</w:t>
            </w:r>
          </w:p>
          <w:p w14:paraId="7A3125E0" w14:textId="77777777" w:rsidR="00BD7F03" w:rsidRPr="005722E6" w:rsidRDefault="00BD7F03" w:rsidP="002422A9">
            <w:pPr>
              <w:autoSpaceDE w:val="0"/>
              <w:autoSpaceDN w:val="0"/>
              <w:adjustRightInd w:val="0"/>
              <w:rPr>
                <w:rFonts w:ascii="Times New Roman" w:hAnsi="Times New Roman"/>
                <w:color w:val="000000" w:themeColor="text1"/>
                <w:sz w:val="24"/>
                <w:szCs w:val="28"/>
              </w:rPr>
            </w:pPr>
          </w:p>
          <w:p w14:paraId="4A870B45" w14:textId="77777777" w:rsidR="00BD7F03" w:rsidRPr="00EF7326" w:rsidRDefault="00BD7F03" w:rsidP="00BD7F03">
            <w:pPr>
              <w:pStyle w:val="ListParagraph"/>
              <w:numPr>
                <w:ilvl w:val="0"/>
                <w:numId w:val="2"/>
              </w:numPr>
              <w:contextualSpacing/>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Genehmigung der Richtlinie - Der </w:t>
            </w:r>
            <w:r w:rsidRPr="00EF7326">
              <w:rPr>
                <w:rStyle w:val="Strong"/>
                <w:rFonts w:ascii="Times New Roman" w:hAnsi="Times New Roman"/>
                <w:color w:val="000000" w:themeColor="text1"/>
                <w:sz w:val="24"/>
                <w:szCs w:val="28"/>
                <w:lang w:val="de-DE"/>
              </w:rPr>
              <w:t xml:space="preserve">&lt;Titel der Führungskraft&gt; </w:t>
            </w:r>
            <w:r w:rsidRPr="00EF7326">
              <w:rPr>
                <w:rFonts w:ascii="Times New Roman" w:hAnsi="Times New Roman"/>
                <w:color w:val="000000" w:themeColor="text1"/>
                <w:sz w:val="24"/>
                <w:szCs w:val="28"/>
                <w:lang w:val="de-DE"/>
              </w:rPr>
              <w:t xml:space="preserve">ist für die Genehmigung dieser Richtlinie zuständig. </w:t>
            </w:r>
          </w:p>
          <w:p w14:paraId="39C82A83" w14:textId="77777777" w:rsidR="00BD7F03" w:rsidRPr="00EF7326" w:rsidRDefault="00BD7F03" w:rsidP="00BD7F03">
            <w:pPr>
              <w:pStyle w:val="ListParagraph"/>
              <w:numPr>
                <w:ilvl w:val="0"/>
                <w:numId w:val="2"/>
              </w:numPr>
              <w:contextualSpacing/>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Umsetzung der Richtlinie - Die &lt;Name der Abteilung oder Person&gt; ist verantwortlich für die Planung, Organisation und Umsetzung aller Aktivitäten, die diese Richtlinie erfüllen.</w:t>
            </w:r>
          </w:p>
          <w:p w14:paraId="4F13B244" w14:textId="77777777" w:rsidR="00BD7F03" w:rsidRPr="00EF7326" w:rsidRDefault="00BD7F03" w:rsidP="00BD7F03">
            <w:pPr>
              <w:pStyle w:val="ListParagraph"/>
              <w:numPr>
                <w:ilvl w:val="0"/>
                <w:numId w:val="2"/>
              </w:numPr>
              <w:contextualSpacing/>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Pflege und Aktualisierung der Richtlinien - Die &lt;Name der Abteilung oder Person&gt; ist für alle Aktivitäten im Zusammenhang mit der Pflege und Aktualisierung dieser Richtlinien verantwortlich. </w:t>
            </w:r>
          </w:p>
          <w:p w14:paraId="41AAA9E7" w14:textId="7C16EA87" w:rsidR="00A211BD" w:rsidRPr="00EF7326" w:rsidRDefault="00A211BD" w:rsidP="00BD7F03">
            <w:pPr>
              <w:pStyle w:val="ListParagraph"/>
              <w:numPr>
                <w:ilvl w:val="0"/>
                <w:numId w:val="2"/>
              </w:numPr>
              <w:contextualSpacing/>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Einhaltung der Richtlinien - Die &lt;Name der Abteilung oder Person&gt; ist dafür verantwortlich, dass die einschlägigen Normen, Vorschriften und bewährten Verfahren für die Aufbewahrung und Vernichtung von Daten eingehalten werden</w:t>
            </w:r>
            <w:r w:rsidR="001840BE" w:rsidRPr="00EF7326">
              <w:rPr>
                <w:rFonts w:ascii="Times New Roman" w:hAnsi="Times New Roman"/>
                <w:color w:val="000000" w:themeColor="text1"/>
                <w:sz w:val="24"/>
                <w:szCs w:val="28"/>
                <w:lang w:val="de-DE"/>
              </w:rPr>
              <w:t>.</w:t>
            </w:r>
          </w:p>
          <w:p w14:paraId="4B44DC88" w14:textId="3743AF38" w:rsidR="001212EF" w:rsidRPr="00EF7326" w:rsidRDefault="001212EF" w:rsidP="00BD7F03">
            <w:pPr>
              <w:pStyle w:val="ListParagraph"/>
              <w:numPr>
                <w:ilvl w:val="0"/>
                <w:numId w:val="2"/>
              </w:numPr>
              <w:contextualSpacing/>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Richtlinie Einhaltung von Umweltmanagementprogrammen - </w:t>
            </w:r>
            <w:r w:rsidR="0091596C" w:rsidRPr="00EF7326">
              <w:rPr>
                <w:rFonts w:ascii="Times New Roman" w:hAnsi="Times New Roman"/>
                <w:color w:val="000000" w:themeColor="text1"/>
                <w:sz w:val="24"/>
                <w:szCs w:val="28"/>
                <w:lang w:val="de-DE"/>
              </w:rPr>
              <w:t>Die &lt;Name der Abteilung oder Person&gt; ist dafür verantwortlich, die Einhaltung der Unternehmensrichtlinien und -programme für Umwelt- und Nachhaltigkeitsmanagement sicherzustellen</w:t>
            </w:r>
            <w:r w:rsidR="001840BE" w:rsidRPr="00EF7326">
              <w:rPr>
                <w:rFonts w:ascii="Times New Roman" w:hAnsi="Times New Roman"/>
                <w:color w:val="000000" w:themeColor="text1"/>
                <w:sz w:val="24"/>
                <w:szCs w:val="28"/>
                <w:lang w:val="de-DE"/>
              </w:rPr>
              <w:t>.</w:t>
            </w:r>
          </w:p>
          <w:p w14:paraId="2BCD308A" w14:textId="3AA5B60F" w:rsidR="00BD7F03" w:rsidRPr="00EF7326" w:rsidRDefault="00BD7F03" w:rsidP="00BD7F03">
            <w:pPr>
              <w:pStyle w:val="ListParagraph"/>
              <w:numPr>
                <w:ilvl w:val="0"/>
                <w:numId w:val="2"/>
              </w:numPr>
              <w:contextualSpacing/>
              <w:rPr>
                <w:rFonts w:ascii="Times New Roman" w:hAnsi="Times New Roman"/>
                <w:b/>
                <w:color w:val="000000" w:themeColor="text1"/>
                <w:sz w:val="24"/>
                <w:szCs w:val="28"/>
                <w:lang w:val="de-DE"/>
              </w:rPr>
            </w:pPr>
            <w:r w:rsidRPr="00EF7326">
              <w:rPr>
                <w:rFonts w:ascii="Times New Roman" w:hAnsi="Times New Roman"/>
                <w:color w:val="000000" w:themeColor="text1"/>
                <w:sz w:val="24"/>
                <w:szCs w:val="28"/>
                <w:lang w:val="de-DE"/>
              </w:rPr>
              <w:t>Überwachung</w:t>
            </w:r>
            <w:r w:rsidR="0091596C" w:rsidRPr="00EF7326">
              <w:rPr>
                <w:rFonts w:ascii="Times New Roman" w:hAnsi="Times New Roman"/>
                <w:color w:val="000000" w:themeColor="text1"/>
                <w:sz w:val="24"/>
                <w:szCs w:val="28"/>
                <w:lang w:val="de-DE"/>
              </w:rPr>
              <w:t xml:space="preserve">, </w:t>
            </w:r>
            <w:r w:rsidRPr="00EF7326">
              <w:rPr>
                <w:rFonts w:ascii="Times New Roman" w:hAnsi="Times New Roman"/>
                <w:color w:val="000000" w:themeColor="text1"/>
                <w:sz w:val="24"/>
                <w:szCs w:val="28"/>
                <w:lang w:val="de-DE"/>
              </w:rPr>
              <w:t xml:space="preserve">Überprüfung </w:t>
            </w:r>
            <w:r w:rsidR="0091596C" w:rsidRPr="00EF7326">
              <w:rPr>
                <w:rFonts w:ascii="Times New Roman" w:hAnsi="Times New Roman"/>
                <w:color w:val="000000" w:themeColor="text1"/>
                <w:sz w:val="24"/>
                <w:szCs w:val="28"/>
                <w:lang w:val="de-DE"/>
              </w:rPr>
              <w:t xml:space="preserve">und Prüfung der </w:t>
            </w:r>
            <w:r w:rsidRPr="00EF7326">
              <w:rPr>
                <w:rFonts w:ascii="Times New Roman" w:hAnsi="Times New Roman"/>
                <w:color w:val="000000" w:themeColor="text1"/>
                <w:sz w:val="24"/>
                <w:szCs w:val="28"/>
                <w:lang w:val="de-DE"/>
              </w:rPr>
              <w:t xml:space="preserve">Richtlinie - Die &lt;Name der Abteilung oder Person&gt; ist für die Überwachung und Überprüfung dieser Richtlinie </w:t>
            </w:r>
            <w:r w:rsidR="0091596C" w:rsidRPr="00EF7326">
              <w:rPr>
                <w:rFonts w:ascii="Times New Roman" w:hAnsi="Times New Roman"/>
                <w:color w:val="000000" w:themeColor="text1"/>
                <w:sz w:val="24"/>
                <w:szCs w:val="28"/>
                <w:lang w:val="de-DE"/>
              </w:rPr>
              <w:t xml:space="preserve">und die Unterstützung bei geplanten Prüfungen - sowohl intern als auch extern durchgeführt - von Datenaufbewahrungs- und -vernichtungsaktivitäten </w:t>
            </w:r>
            <w:r w:rsidRPr="00EF7326">
              <w:rPr>
                <w:rFonts w:ascii="Times New Roman" w:hAnsi="Times New Roman"/>
                <w:color w:val="000000" w:themeColor="text1"/>
                <w:sz w:val="24"/>
                <w:szCs w:val="28"/>
                <w:lang w:val="de-DE"/>
              </w:rPr>
              <w:t>verantwortlich.</w:t>
            </w:r>
          </w:p>
          <w:p w14:paraId="79CBDD85" w14:textId="74E43630" w:rsidR="00BD7F03" w:rsidRPr="00EF7326" w:rsidRDefault="00BD7F03" w:rsidP="00BD7F03">
            <w:pPr>
              <w:pStyle w:val="ListParagraph"/>
              <w:numPr>
                <w:ilvl w:val="0"/>
                <w:numId w:val="2"/>
              </w:numPr>
              <w:contextualSpacing/>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Verbesserung der </w:t>
            </w:r>
            <w:r w:rsidR="002D082A">
              <w:rPr>
                <w:rFonts w:ascii="Times New Roman" w:hAnsi="Times New Roman"/>
                <w:color w:val="000000" w:themeColor="text1"/>
                <w:sz w:val="24"/>
                <w:szCs w:val="28"/>
                <w:lang w:val="de-DE"/>
              </w:rPr>
              <w:t>Policy</w:t>
            </w:r>
            <w:r w:rsidRPr="00EF7326">
              <w:rPr>
                <w:rFonts w:ascii="Times New Roman" w:hAnsi="Times New Roman"/>
                <w:color w:val="000000" w:themeColor="text1"/>
                <w:sz w:val="24"/>
                <w:szCs w:val="28"/>
                <w:lang w:val="de-DE"/>
              </w:rPr>
              <w:t xml:space="preserve"> - Die &lt;Name der Abteilung oder Person&gt; ist für die Festlegung und Durchführung von Maßnahmen zur Verbesserung dieser </w:t>
            </w:r>
            <w:r w:rsidR="002D082A">
              <w:rPr>
                <w:rFonts w:ascii="Times New Roman" w:hAnsi="Times New Roman"/>
                <w:color w:val="000000" w:themeColor="text1"/>
                <w:sz w:val="24"/>
                <w:szCs w:val="28"/>
                <w:lang w:val="de-DE"/>
              </w:rPr>
              <w:t>Richtlinie</w:t>
            </w:r>
            <w:r w:rsidRPr="00EF7326">
              <w:rPr>
                <w:rFonts w:ascii="Times New Roman" w:hAnsi="Times New Roman"/>
                <w:color w:val="000000" w:themeColor="text1"/>
                <w:sz w:val="24"/>
                <w:szCs w:val="28"/>
                <w:lang w:val="de-DE"/>
              </w:rPr>
              <w:t xml:space="preserve"> verantwortlich.  </w:t>
            </w:r>
          </w:p>
          <w:p w14:paraId="1CFE2AC9"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tc>
      </w:tr>
      <w:tr w:rsidR="00BD7F03" w:rsidRPr="00EF7326" w14:paraId="6E7A2CE1" w14:textId="77777777" w:rsidTr="002422A9">
        <w:tc>
          <w:tcPr>
            <w:tcW w:w="9576" w:type="dxa"/>
            <w:gridSpan w:val="2"/>
          </w:tcPr>
          <w:p w14:paraId="12E6E3C3" w14:textId="77777777" w:rsidR="00BD7F03" w:rsidRPr="00EF7326" w:rsidRDefault="00BD7F03" w:rsidP="002422A9">
            <w:pPr>
              <w:autoSpaceDE w:val="0"/>
              <w:autoSpaceDN w:val="0"/>
              <w:adjustRightInd w:val="0"/>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t>Management Review</w:t>
            </w:r>
          </w:p>
          <w:p w14:paraId="3EBC609E"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5BD370C1" w14:textId="02463891"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&lt;Name der Abteilung oder Person&gt; wird diese Richtlinie zur Datenaufbewahrung und -vernichtung jährlich überprüfen und aktualisieren. Wenn sich im Geschäftsverlauf Änderungen an dieser Richtlinie ergeben, kann &lt;Name der Abteilung oder Person&gt; einen Änderungsmanagementprozess zur Aktualisierung dieser Richtlinie einleiten.  </w:t>
            </w:r>
          </w:p>
          <w:p w14:paraId="59997068"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tc>
      </w:tr>
      <w:tr w:rsidR="00BD7F03" w:rsidRPr="00EF7326" w14:paraId="42B691D9" w14:textId="77777777" w:rsidTr="002422A9">
        <w:tc>
          <w:tcPr>
            <w:tcW w:w="9576" w:type="dxa"/>
            <w:gridSpan w:val="2"/>
          </w:tcPr>
          <w:p w14:paraId="6018B18B" w14:textId="5AAF7CEA" w:rsidR="00BD7F03" w:rsidRPr="00EF7326" w:rsidRDefault="00BD7F03" w:rsidP="002422A9">
            <w:pPr>
              <w:autoSpaceDE w:val="0"/>
              <w:autoSpaceDN w:val="0"/>
              <w:adjustRightInd w:val="0"/>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t xml:space="preserve">Durchsetzung der </w:t>
            </w:r>
            <w:r w:rsidR="002D082A">
              <w:rPr>
                <w:rFonts w:ascii="Times New Roman" w:hAnsi="Times New Roman"/>
                <w:b/>
                <w:color w:val="000000" w:themeColor="text1"/>
                <w:sz w:val="24"/>
                <w:szCs w:val="28"/>
                <w:lang w:val="de-DE"/>
              </w:rPr>
              <w:t>Richtlinie</w:t>
            </w:r>
          </w:p>
          <w:p w14:paraId="2E5FFA70"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33176578" w14:textId="5DAEA302"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Der </w:t>
            </w:r>
            <w:r w:rsidRPr="00EF7326">
              <w:rPr>
                <w:rStyle w:val="Strong"/>
                <w:rFonts w:ascii="Times New Roman" w:hAnsi="Times New Roman"/>
                <w:color w:val="000000" w:themeColor="text1"/>
                <w:sz w:val="24"/>
                <w:szCs w:val="28"/>
                <w:lang w:val="de-DE"/>
              </w:rPr>
              <w:t xml:space="preserve">&lt;Titel der Führungskraft&gt; </w:t>
            </w:r>
            <w:r w:rsidRPr="00EF7326">
              <w:rPr>
                <w:rFonts w:ascii="Times New Roman" w:hAnsi="Times New Roman"/>
                <w:color w:val="000000" w:themeColor="text1"/>
                <w:sz w:val="24"/>
                <w:szCs w:val="28"/>
                <w:lang w:val="de-DE"/>
              </w:rPr>
              <w:t xml:space="preserve">wird diese </w:t>
            </w:r>
            <w:r w:rsidR="002D082A">
              <w:rPr>
                <w:rFonts w:ascii="Times New Roman" w:hAnsi="Times New Roman"/>
                <w:color w:val="000000" w:themeColor="text1"/>
                <w:sz w:val="24"/>
                <w:szCs w:val="28"/>
                <w:lang w:val="de-DE"/>
              </w:rPr>
              <w:t>Policy</w:t>
            </w:r>
            <w:r w:rsidRPr="00EF7326">
              <w:rPr>
                <w:rFonts w:ascii="Times New Roman" w:hAnsi="Times New Roman"/>
                <w:color w:val="000000" w:themeColor="text1"/>
                <w:sz w:val="24"/>
                <w:szCs w:val="28"/>
                <w:lang w:val="de-DE"/>
              </w:rPr>
              <w:t xml:space="preserve"> durchsetzen. </w:t>
            </w:r>
          </w:p>
          <w:p w14:paraId="239C6AB6"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tc>
      </w:tr>
      <w:tr w:rsidR="00BD7F03" w:rsidRPr="00EF7326" w14:paraId="179073B8" w14:textId="77777777" w:rsidTr="002422A9">
        <w:tc>
          <w:tcPr>
            <w:tcW w:w="9576" w:type="dxa"/>
            <w:gridSpan w:val="2"/>
          </w:tcPr>
          <w:p w14:paraId="7106017A" w14:textId="77777777" w:rsidR="00BD7F03" w:rsidRPr="00EF7326" w:rsidRDefault="00BD7F03" w:rsidP="002422A9">
            <w:pPr>
              <w:autoSpaceDE w:val="0"/>
              <w:autoSpaceDN w:val="0"/>
              <w:adjustRightInd w:val="0"/>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lastRenderedPageBreak/>
              <w:t xml:space="preserve">Sanktionen bei Nichteinhaltung der Vorschriften </w:t>
            </w:r>
          </w:p>
          <w:p w14:paraId="0E73A8BF"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061D71F2" w14:textId="5AF4C15B"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 xml:space="preserve">In Situationen, in denen festgestellt wird, dass die Datenaufbewahrung und -vernichtung nicht mit dieser Richtlinie übereinstimmt, erstellt das für diese Tätigkeit zuständige Team der IT-Abteilung einen Bericht, in dem die Gründe für die Nichteinhaltung dargelegt werden, und legt ihn der IT-Leitung zur Lösung vor. Die Nichteinhaltung dieser Richtlinie zur Datenaufbewahrung und -vernichtung innerhalb der vorgegebenen Frist kann zu mündlichen Verwarnungen, Vermerken in den Personalakten, Kündigungen und anderen Maßnahmen führen, die als angemessen erachtet werden.  </w:t>
            </w:r>
          </w:p>
          <w:p w14:paraId="32A8FA20"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tc>
      </w:tr>
      <w:tr w:rsidR="00BD7F03" w:rsidRPr="00EF7326" w14:paraId="0BBEE0DB" w14:textId="77777777" w:rsidTr="002422A9">
        <w:tc>
          <w:tcPr>
            <w:tcW w:w="9576" w:type="dxa"/>
            <w:gridSpan w:val="2"/>
          </w:tcPr>
          <w:p w14:paraId="1BB4285F" w14:textId="356DAB98" w:rsidR="00BD7F03" w:rsidRPr="00EF7326" w:rsidRDefault="00BD7F03" w:rsidP="002422A9">
            <w:pPr>
              <w:autoSpaceDE w:val="0"/>
              <w:autoSpaceDN w:val="0"/>
              <w:adjustRightInd w:val="0"/>
              <w:rPr>
                <w:rFonts w:ascii="Times New Roman" w:hAnsi="Times New Roman"/>
                <w:b/>
                <w:color w:val="000000" w:themeColor="text1"/>
                <w:sz w:val="24"/>
                <w:szCs w:val="28"/>
                <w:lang w:val="de-DE"/>
              </w:rPr>
            </w:pPr>
            <w:r w:rsidRPr="00EF7326">
              <w:rPr>
                <w:rFonts w:ascii="Times New Roman" w:hAnsi="Times New Roman"/>
                <w:b/>
                <w:color w:val="000000" w:themeColor="text1"/>
                <w:sz w:val="24"/>
                <w:szCs w:val="28"/>
                <w:lang w:val="de-DE"/>
              </w:rPr>
              <w:t>Standort</w:t>
            </w:r>
            <w:r w:rsidR="002D082A">
              <w:rPr>
                <w:rFonts w:ascii="Times New Roman" w:hAnsi="Times New Roman"/>
                <w:b/>
                <w:color w:val="000000" w:themeColor="text1"/>
                <w:sz w:val="24"/>
                <w:szCs w:val="28"/>
                <w:lang w:val="de-DE"/>
              </w:rPr>
              <w:t xml:space="preserve"> der Richtlinie</w:t>
            </w:r>
          </w:p>
          <w:p w14:paraId="697D85C6"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p w14:paraId="0F81DECA"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r w:rsidRPr="00EF7326">
              <w:rPr>
                <w:rFonts w:ascii="Times New Roman" w:hAnsi="Times New Roman"/>
                <w:color w:val="000000" w:themeColor="text1"/>
                <w:sz w:val="24"/>
                <w:szCs w:val="28"/>
                <w:lang w:val="de-DE"/>
              </w:rPr>
              <w:t>Die Richtlinie wird unterzeichnet, in eine elektronische Datei eingescannt und an folgendem Ort im Netz veröffentlicht: &lt;Speicherort der Richtlinie&gt;</w:t>
            </w:r>
          </w:p>
          <w:p w14:paraId="044CA768" w14:textId="77777777" w:rsidR="00BD7F03" w:rsidRPr="00EF7326" w:rsidRDefault="00BD7F03" w:rsidP="002422A9">
            <w:pPr>
              <w:autoSpaceDE w:val="0"/>
              <w:autoSpaceDN w:val="0"/>
              <w:adjustRightInd w:val="0"/>
              <w:rPr>
                <w:rFonts w:ascii="Times New Roman" w:hAnsi="Times New Roman"/>
                <w:color w:val="000000" w:themeColor="text1"/>
                <w:sz w:val="24"/>
                <w:szCs w:val="28"/>
                <w:lang w:val="de-DE"/>
              </w:rPr>
            </w:pPr>
          </w:p>
        </w:tc>
      </w:tr>
    </w:tbl>
    <w:p w14:paraId="34C4DB25" w14:textId="77777777" w:rsidR="00BD7F03" w:rsidRPr="00EF7326" w:rsidRDefault="00BD7F03" w:rsidP="00BD7F03">
      <w:pPr>
        <w:rPr>
          <w:rFonts w:ascii="Times New Roman" w:hAnsi="Times New Roman"/>
          <w:b/>
          <w:color w:val="000000" w:themeColor="text1"/>
          <w:sz w:val="24"/>
          <w:szCs w:val="28"/>
          <w:lang w:val="de-DE"/>
        </w:rPr>
      </w:pPr>
    </w:p>
    <w:p w14:paraId="7F17ED02" w14:textId="77777777" w:rsidR="00BD7F03" w:rsidRPr="00EF7326" w:rsidRDefault="00BD7F03" w:rsidP="00BD7F03">
      <w:pPr>
        <w:rPr>
          <w:rFonts w:ascii="Times New Roman" w:hAnsi="Times New Roman"/>
          <w:color w:val="000000" w:themeColor="text1"/>
          <w:sz w:val="28"/>
          <w:szCs w:val="28"/>
          <w:lang w:val="de-DE"/>
        </w:rPr>
      </w:pPr>
    </w:p>
    <w:p w14:paraId="53EC6C5F" w14:textId="77777777" w:rsidR="00475142" w:rsidRPr="00EF7326" w:rsidRDefault="00475142">
      <w:pPr>
        <w:rPr>
          <w:lang w:val="de-DE"/>
        </w:rPr>
      </w:pPr>
    </w:p>
    <w:sectPr w:rsidR="00475142" w:rsidRPr="00EF7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261F"/>
    <w:multiLevelType w:val="hybridMultilevel"/>
    <w:tmpl w:val="479CA42E"/>
    <w:lvl w:ilvl="0" w:tplc="A2CE24F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B6B0D"/>
    <w:multiLevelType w:val="hybridMultilevel"/>
    <w:tmpl w:val="55309DA4"/>
    <w:lvl w:ilvl="0" w:tplc="29B0AC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D682D"/>
    <w:multiLevelType w:val="hybridMultilevel"/>
    <w:tmpl w:val="AEB25C8A"/>
    <w:lvl w:ilvl="0" w:tplc="52865C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E6828"/>
    <w:multiLevelType w:val="hybridMultilevel"/>
    <w:tmpl w:val="1FD0C720"/>
    <w:lvl w:ilvl="0" w:tplc="498012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A0130"/>
    <w:multiLevelType w:val="hybridMultilevel"/>
    <w:tmpl w:val="8C9A92C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8C1E0A"/>
    <w:multiLevelType w:val="hybridMultilevel"/>
    <w:tmpl w:val="4A621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3691336">
    <w:abstractNumId w:val="4"/>
  </w:num>
  <w:num w:numId="2" w16cid:durableId="452598976">
    <w:abstractNumId w:val="5"/>
  </w:num>
  <w:num w:numId="3" w16cid:durableId="472403895">
    <w:abstractNumId w:val="0"/>
  </w:num>
  <w:num w:numId="4" w16cid:durableId="1441997766">
    <w:abstractNumId w:val="1"/>
  </w:num>
  <w:num w:numId="5" w16cid:durableId="390924954">
    <w:abstractNumId w:val="3"/>
  </w:num>
  <w:num w:numId="6" w16cid:durableId="1582761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3"/>
    <w:rsid w:val="000063F8"/>
    <w:rsid w:val="00072013"/>
    <w:rsid w:val="000F3388"/>
    <w:rsid w:val="001212EF"/>
    <w:rsid w:val="00127735"/>
    <w:rsid w:val="001840BE"/>
    <w:rsid w:val="002C4F27"/>
    <w:rsid w:val="002D082A"/>
    <w:rsid w:val="0033671F"/>
    <w:rsid w:val="00433FFB"/>
    <w:rsid w:val="00475142"/>
    <w:rsid w:val="004A3DD9"/>
    <w:rsid w:val="0052651E"/>
    <w:rsid w:val="005B208C"/>
    <w:rsid w:val="005B2BBB"/>
    <w:rsid w:val="00614F11"/>
    <w:rsid w:val="006E4081"/>
    <w:rsid w:val="00751EDA"/>
    <w:rsid w:val="00903056"/>
    <w:rsid w:val="0091596C"/>
    <w:rsid w:val="009B50FA"/>
    <w:rsid w:val="00A00E61"/>
    <w:rsid w:val="00A211BD"/>
    <w:rsid w:val="00A652DE"/>
    <w:rsid w:val="00BB26FC"/>
    <w:rsid w:val="00BB5508"/>
    <w:rsid w:val="00BD7F03"/>
    <w:rsid w:val="00D1664A"/>
    <w:rsid w:val="00E4425E"/>
    <w:rsid w:val="00E53D2E"/>
    <w:rsid w:val="00ED13DD"/>
    <w:rsid w:val="00EF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A066"/>
  <w15:docId w15:val="{585E5E76-F84B-470B-BF2A-171950AF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0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7F03"/>
    <w:rPr>
      <w:b/>
      <w:bCs/>
    </w:rPr>
  </w:style>
  <w:style w:type="paragraph" w:styleId="ListParagraph">
    <w:name w:val="List Paragraph"/>
    <w:basedOn w:val="Normal"/>
    <w:uiPriority w:val="34"/>
    <w:qFormat/>
    <w:rsid w:val="00BD7F03"/>
    <w:pPr>
      <w:ind w:left="720"/>
    </w:pPr>
  </w:style>
  <w:style w:type="table" w:styleId="TableGrid">
    <w:name w:val="Table Grid"/>
    <w:basedOn w:val="TableNormal"/>
    <w:uiPriority w:val="59"/>
    <w:rsid w:val="00BD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7F03"/>
    <w:pPr>
      <w:jc w:val="both"/>
    </w:pPr>
    <w:rPr>
      <w:rFonts w:ascii="Arial" w:eastAsia="Times New Roman" w:hAnsi="Arial" w:cs="Arial"/>
      <w:sz w:val="18"/>
      <w:szCs w:val="24"/>
      <w:lang w:val="en-GB"/>
    </w:rPr>
  </w:style>
  <w:style w:type="character" w:customStyle="1" w:styleId="BodyTextChar">
    <w:name w:val="Body Text Char"/>
    <w:basedOn w:val="DefaultParagraphFont"/>
    <w:link w:val="BodyText"/>
    <w:rsid w:val="00BD7F03"/>
    <w:rPr>
      <w:rFonts w:ascii="Arial" w:eastAsia="Times New Roman" w:hAnsi="Arial" w:cs="Arial"/>
      <w:sz w:val="18"/>
      <w:szCs w:val="24"/>
      <w:lang w:val="en-GB"/>
    </w:rPr>
  </w:style>
  <w:style w:type="paragraph" w:styleId="Revision">
    <w:name w:val="Revision"/>
    <w:hidden/>
    <w:uiPriority w:val="99"/>
    <w:semiHidden/>
    <w:rsid w:val="005B208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1947</Words>
  <Characters>11104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Kirvan</dc:creator>
  <cp:keywords>, docId:2680021C7EE91A5514C31B9387F6A0E0</cp:keywords>
  <cp:lastModifiedBy>Cramer Von Laue, Gardis</cp:lastModifiedBy>
  <cp:revision>2</cp:revision>
  <dcterms:created xsi:type="dcterms:W3CDTF">2025-05-06T08:12:00Z</dcterms:created>
  <dcterms:modified xsi:type="dcterms:W3CDTF">2025-05-06T08:12:00Z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2025-05-06T08:12:40Z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b28c4a8b-1762-410e-8180-56b43a1c7fbc</vt:lpwstr>
  </property>
  <property fmtid="{D5CDD505-2E9C-101B-9397-08002B2CF9AE}" pid="8" name="MSIP_Label_2bbab825-a111-45e4-86a1-18cee0005896_ContentBits">
    <vt:lpwstr>2</vt:lpwstr>
  </property>
  <property fmtid="{D5CDD505-2E9C-101B-9397-08002B2CF9AE}" pid="9" name="MSIP_Label_2bbab825-a111-45e4-86a1-18cee0005896_Tag">
    <vt:lpwstr>50, 3, 0, 1</vt:lpwstr>
  </property>
</Properties>
</file>